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rPr>
          <w:rFonts w:ascii="Bell MT" w:hAnsi="Bell MT" w:cs="Arial"/>
          <w:b/>
          <w:bCs/>
          <w:sz w:val="22"/>
          <w:szCs w:val="22"/>
        </w:rPr>
      </w:pPr>
    </w:p>
    <w:p w:rsidR="004860C5" w:rsidRPr="00301BF2" w:rsidRDefault="00BD639D" w:rsidP="00820AB1">
      <w:pPr>
        <w:pStyle w:val="Corpodeltesto"/>
        <w:shd w:val="clear" w:color="auto" w:fill="B8CCE4" w:themeFill="accent1" w:themeFillTint="66"/>
        <w:spacing w:before="120"/>
        <w:rPr>
          <w:rFonts w:ascii="Times New Roman" w:hAnsi="Times New Roman" w:cs="Times New Roman"/>
          <w:b/>
          <w:bCs/>
          <w:sz w:val="48"/>
          <w:szCs w:val="48"/>
        </w:rPr>
      </w:pPr>
      <w:r w:rsidRPr="00301BF2">
        <w:rPr>
          <w:rFonts w:ascii="Times New Roman" w:hAnsi="Times New Roman" w:cs="Times New Roman"/>
          <w:b/>
          <w:bCs/>
          <w:sz w:val="48"/>
          <w:szCs w:val="48"/>
        </w:rPr>
        <w:t xml:space="preserve">Piano di razionalizzazione delle società partecipate </w:t>
      </w:r>
    </w:p>
    <w:p w:rsidR="004860C5" w:rsidRPr="00301BF2" w:rsidRDefault="00BD639D" w:rsidP="00BD639D">
      <w:pPr>
        <w:pStyle w:val="Corpodeltesto"/>
        <w:shd w:val="clear" w:color="auto" w:fill="B8CCE4" w:themeFill="accent1" w:themeFillTint="66"/>
        <w:spacing w:before="120"/>
        <w:rPr>
          <w:rFonts w:ascii="Times New Roman" w:hAnsi="Times New Roman" w:cs="Times New Roman"/>
          <w:sz w:val="20"/>
          <w:szCs w:val="20"/>
        </w:rPr>
      </w:pPr>
      <w:r w:rsidRPr="00301BF2">
        <w:rPr>
          <w:rFonts w:ascii="Times New Roman" w:hAnsi="Times New Roman" w:cs="Times New Roman"/>
          <w:sz w:val="20"/>
          <w:szCs w:val="20"/>
        </w:rPr>
        <w:t xml:space="preserve">(articolo 1 commi 611 e seguenti della legge 190/2014) </w:t>
      </w:r>
    </w:p>
    <w:p w:rsidR="004860C5" w:rsidRPr="00820AB1" w:rsidRDefault="004860C5" w:rsidP="000E17F3">
      <w:pPr>
        <w:spacing w:before="120"/>
        <w:ind w:right="567"/>
        <w:rPr>
          <w:rFonts w:ascii="Bell MT" w:hAnsi="Bell MT" w:cs="Arial"/>
          <w:b/>
          <w:bCs/>
          <w:sz w:val="22"/>
          <w:szCs w:val="22"/>
        </w:rPr>
      </w:pPr>
    </w:p>
    <w:p w:rsidR="004860C5" w:rsidRPr="00820AB1" w:rsidRDefault="004860C5" w:rsidP="000E17F3">
      <w:pPr>
        <w:spacing w:before="120"/>
        <w:ind w:right="567"/>
        <w:jc w:val="center"/>
        <w:rPr>
          <w:rFonts w:ascii="Bell MT" w:hAnsi="Bell MT" w:cs="Arial"/>
          <w:b/>
          <w:bCs/>
          <w:sz w:val="22"/>
          <w:szCs w:val="22"/>
        </w:rPr>
      </w:pPr>
    </w:p>
    <w:p w:rsidR="004860C5" w:rsidRPr="00820AB1" w:rsidRDefault="004860C5" w:rsidP="000E17F3">
      <w:pPr>
        <w:spacing w:before="120"/>
        <w:ind w:right="567"/>
        <w:jc w:val="center"/>
        <w:rPr>
          <w:rFonts w:ascii="Bell MT" w:hAnsi="Bell MT" w:cs="Arial"/>
          <w:b/>
          <w:bCs/>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4860C5" w:rsidRPr="00820AB1" w:rsidRDefault="004860C5" w:rsidP="000E17F3">
      <w:pPr>
        <w:spacing w:before="120"/>
        <w:rPr>
          <w:rFonts w:ascii="Bell MT" w:hAnsi="Bell MT" w:cs="Arial"/>
          <w:sz w:val="22"/>
          <w:szCs w:val="22"/>
        </w:rPr>
      </w:pPr>
    </w:p>
    <w:p w:rsidR="00F4028D" w:rsidRDefault="00F4028D"/>
    <w:p w:rsidR="004860C5" w:rsidRPr="00820AB1" w:rsidRDefault="004860C5" w:rsidP="000E17F3">
      <w:pPr>
        <w:spacing w:before="120"/>
        <w:ind w:right="567"/>
        <w:jc w:val="center"/>
        <w:rPr>
          <w:rFonts w:ascii="Bell MT" w:hAnsi="Bell MT" w:cs="Arial"/>
          <w:sz w:val="22"/>
          <w:szCs w:val="22"/>
        </w:rPr>
      </w:pPr>
    </w:p>
    <w:p w:rsidR="004860C5" w:rsidRPr="00820AB1" w:rsidRDefault="004860C5" w:rsidP="000E17F3">
      <w:pPr>
        <w:tabs>
          <w:tab w:val="left" w:pos="6374"/>
        </w:tabs>
        <w:spacing w:before="120"/>
        <w:ind w:right="567"/>
        <w:rPr>
          <w:rFonts w:ascii="Bell MT" w:hAnsi="Bell MT" w:cs="Arial"/>
          <w:sz w:val="22"/>
          <w:szCs w:val="22"/>
        </w:rPr>
      </w:pPr>
      <w:r w:rsidRPr="00820AB1">
        <w:rPr>
          <w:rFonts w:ascii="Bell MT" w:hAnsi="Bell MT" w:cs="Arial"/>
          <w:sz w:val="22"/>
          <w:szCs w:val="22"/>
        </w:rPr>
        <w:tab/>
      </w:r>
    </w:p>
    <w:p w:rsidR="004860C5" w:rsidRPr="00820AB1" w:rsidRDefault="004860C5" w:rsidP="000E17F3">
      <w:pPr>
        <w:spacing w:before="120"/>
        <w:ind w:right="567"/>
        <w:jc w:val="center"/>
        <w:rPr>
          <w:rFonts w:ascii="Bell MT" w:hAnsi="Bell MT" w:cs="Arial"/>
          <w:sz w:val="22"/>
          <w:szCs w:val="22"/>
        </w:rPr>
      </w:pPr>
      <w:r w:rsidRPr="00820AB1">
        <w:rPr>
          <w:rFonts w:ascii="Bell MT" w:hAnsi="Bell MT" w:cs="Arial"/>
          <w:sz w:val="22"/>
          <w:szCs w:val="22"/>
        </w:rPr>
        <w:br w:type="page"/>
      </w:r>
    </w:p>
    <w:p w:rsidR="004860C5" w:rsidRPr="0090474D" w:rsidRDefault="004860C5" w:rsidP="000E17F3">
      <w:pPr>
        <w:spacing w:before="120"/>
        <w:ind w:right="567"/>
        <w:jc w:val="center"/>
        <w:rPr>
          <w:sz w:val="22"/>
          <w:szCs w:val="22"/>
        </w:rPr>
      </w:pPr>
    </w:p>
    <w:p w:rsidR="004860C5" w:rsidRPr="0090474D" w:rsidRDefault="004860C5" w:rsidP="006A5F86">
      <w:pPr>
        <w:keepNext/>
        <w:widowControl w:val="0"/>
        <w:shd w:val="clear" w:color="auto" w:fill="B8CCE4" w:themeFill="accent1" w:themeFillTint="66"/>
        <w:spacing w:line="280" w:lineRule="exact"/>
        <w:jc w:val="center"/>
        <w:outlineLvl w:val="1"/>
        <w:rPr>
          <w:b/>
          <w:sz w:val="22"/>
          <w:szCs w:val="22"/>
        </w:rPr>
      </w:pPr>
      <w:bookmarkStart w:id="0" w:name="_Toc405893695"/>
      <w:r w:rsidRPr="0090474D">
        <w:rPr>
          <w:b/>
          <w:sz w:val="22"/>
          <w:szCs w:val="22"/>
        </w:rPr>
        <w:t xml:space="preserve">I </w:t>
      </w:r>
      <w:r w:rsidR="006A5F86" w:rsidRPr="0090474D">
        <w:rPr>
          <w:b/>
          <w:sz w:val="22"/>
          <w:szCs w:val="22"/>
        </w:rPr>
        <w:t>–</w:t>
      </w:r>
      <w:r w:rsidR="00820AB1" w:rsidRPr="0090474D">
        <w:rPr>
          <w:b/>
          <w:sz w:val="22"/>
          <w:szCs w:val="22"/>
        </w:rPr>
        <w:t xml:space="preserve"> </w:t>
      </w:r>
      <w:bookmarkEnd w:id="0"/>
      <w:r w:rsidR="00BD639D" w:rsidRPr="0090474D">
        <w:rPr>
          <w:b/>
          <w:sz w:val="22"/>
          <w:szCs w:val="22"/>
        </w:rPr>
        <w:t>Introduzione generale</w:t>
      </w:r>
    </w:p>
    <w:p w:rsidR="004860C5" w:rsidRPr="0090474D" w:rsidRDefault="004860C5" w:rsidP="000E17F3">
      <w:pPr>
        <w:spacing w:before="120"/>
        <w:ind w:right="567"/>
        <w:jc w:val="center"/>
        <w:rPr>
          <w:b/>
          <w:bCs/>
          <w:sz w:val="22"/>
          <w:szCs w:val="22"/>
        </w:rPr>
      </w:pPr>
    </w:p>
    <w:p w:rsidR="004860C5" w:rsidRPr="0090474D" w:rsidRDefault="004860C5" w:rsidP="003D1B53">
      <w:pPr>
        <w:keepNext/>
        <w:widowControl w:val="0"/>
        <w:shd w:val="clear" w:color="auto" w:fill="B8CCE4" w:themeFill="accent1" w:themeFillTint="66"/>
        <w:spacing w:line="280" w:lineRule="exact"/>
        <w:outlineLvl w:val="1"/>
        <w:rPr>
          <w:b/>
          <w:sz w:val="22"/>
          <w:szCs w:val="22"/>
        </w:rPr>
      </w:pPr>
      <w:bookmarkStart w:id="1" w:name="_Toc405893696"/>
      <w:r w:rsidRPr="0090474D">
        <w:rPr>
          <w:b/>
          <w:sz w:val="22"/>
          <w:szCs w:val="22"/>
        </w:rPr>
        <w:t>1. Premessa</w:t>
      </w:r>
      <w:bookmarkEnd w:id="1"/>
      <w:r w:rsidRPr="0090474D">
        <w:rPr>
          <w:b/>
          <w:sz w:val="22"/>
          <w:szCs w:val="22"/>
        </w:rPr>
        <w:t xml:space="preserve">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Dopo il “</w:t>
      </w:r>
      <w:r w:rsidRPr="0090474D">
        <w:rPr>
          <w:rFonts w:ascii="Times New Roman" w:hAnsi="Times New Roman" w:cs="Times New Roman"/>
          <w:i/>
        </w:rPr>
        <w:t>Piano Cottarelli</w:t>
      </w:r>
      <w:r w:rsidRPr="0090474D">
        <w:rPr>
          <w:rFonts w:ascii="Times New Roman" w:hAnsi="Times New Roman" w:cs="Times New Roman"/>
        </w:rPr>
        <w:t xml:space="preserve">”, il documento dell’agosto 2014 con il quale l’allora commissario straordinario alla </w:t>
      </w:r>
      <w:proofErr w:type="spellStart"/>
      <w:r w:rsidRPr="0090474D">
        <w:rPr>
          <w:rFonts w:ascii="Times New Roman" w:hAnsi="Times New Roman" w:cs="Times New Roman"/>
          <w:i/>
        </w:rPr>
        <w:t>spending</w:t>
      </w:r>
      <w:proofErr w:type="spellEnd"/>
      <w:r w:rsidRPr="0090474D">
        <w:rPr>
          <w:rFonts w:ascii="Times New Roman" w:hAnsi="Times New Roman" w:cs="Times New Roman"/>
          <w:i/>
        </w:rPr>
        <w:t xml:space="preserve"> </w:t>
      </w:r>
      <w:proofErr w:type="spellStart"/>
      <w:r w:rsidRPr="0090474D">
        <w:rPr>
          <w:rFonts w:ascii="Times New Roman" w:hAnsi="Times New Roman" w:cs="Times New Roman"/>
          <w:i/>
        </w:rPr>
        <w:t>review</w:t>
      </w:r>
      <w:proofErr w:type="spellEnd"/>
      <w:r w:rsidRPr="0090474D">
        <w:rPr>
          <w:rFonts w:ascii="Times New Roman" w:hAnsi="Times New Roman" w:cs="Times New Roman"/>
        </w:rPr>
        <w:t xml:space="preserve"> auspicava la drastica riduzione delle società partecipate da circa 8.000 a circa 1.000, la legge di stabilità per il 2015 (legge 190/2014) ha imposto agli enti locali  l’avvio un “</w:t>
      </w:r>
      <w:r w:rsidRPr="0090474D">
        <w:rPr>
          <w:rFonts w:ascii="Times New Roman" w:hAnsi="Times New Roman" w:cs="Times New Roman"/>
          <w:i/>
        </w:rPr>
        <w:t>processo di razionalizzazione</w:t>
      </w:r>
      <w:r w:rsidRPr="0090474D">
        <w:rPr>
          <w:rFonts w:ascii="Times New Roman" w:hAnsi="Times New Roman" w:cs="Times New Roman"/>
        </w:rPr>
        <w:t xml:space="preserve">” che possa produrre risultati già entro fine 2015.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Il comma 611 della legge 190/2014 dispone che, allo scopo di assicurare il “</w:t>
      </w:r>
      <w:r w:rsidRPr="0090474D">
        <w:rPr>
          <w:rFonts w:ascii="Times New Roman" w:hAnsi="Times New Roman" w:cs="Times New Roman"/>
          <w:i/>
        </w:rPr>
        <w:t>coordinamento della finanza pubblica, il contenimento della spesa, il buon andamento dell'azione amministrativa e la tutela della concorrenza e del mercato</w:t>
      </w:r>
      <w:r w:rsidRPr="0090474D">
        <w:rPr>
          <w:rFonts w:ascii="Times New Roman" w:hAnsi="Times New Roman" w:cs="Times New Roman"/>
        </w:rPr>
        <w:t xml:space="preserve">”, gli enti locali </w:t>
      </w:r>
      <w:r w:rsidR="00201278" w:rsidRPr="0090474D">
        <w:rPr>
          <w:rFonts w:ascii="Times New Roman" w:hAnsi="Times New Roman" w:cs="Times New Roman"/>
        </w:rPr>
        <w:t xml:space="preserve">devono avviare </w:t>
      </w:r>
      <w:r w:rsidRPr="0090474D">
        <w:rPr>
          <w:rFonts w:ascii="Times New Roman" w:hAnsi="Times New Roman" w:cs="Times New Roman"/>
        </w:rPr>
        <w:t>un “</w:t>
      </w:r>
      <w:r w:rsidRPr="0090474D">
        <w:rPr>
          <w:rFonts w:ascii="Times New Roman" w:hAnsi="Times New Roman" w:cs="Times New Roman"/>
          <w:i/>
        </w:rPr>
        <w:t>processo di razionalizzazione</w:t>
      </w:r>
      <w:r w:rsidRPr="0090474D">
        <w:rPr>
          <w:rFonts w:ascii="Times New Roman" w:hAnsi="Times New Roman" w:cs="Times New Roman"/>
        </w:rPr>
        <w:t xml:space="preserve">” delle società e delle partecipazioni, dirette e indirette, che permetta di conseguirne una riduzione entro il 31 dicembre 2015.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Lo stesso comma 611 indica i criteri generali cui si deve ispirare il “</w:t>
      </w:r>
      <w:r w:rsidRPr="0090474D">
        <w:rPr>
          <w:rFonts w:ascii="Times New Roman" w:hAnsi="Times New Roman" w:cs="Times New Roman"/>
          <w:i/>
        </w:rPr>
        <w:t>processo di razionalizzazione</w:t>
      </w:r>
      <w:r w:rsidRPr="0090474D">
        <w:rPr>
          <w:rFonts w:ascii="Times New Roman" w:hAnsi="Times New Roman" w:cs="Times New Roman"/>
        </w:rPr>
        <w:t>”:</w:t>
      </w:r>
    </w:p>
    <w:p w:rsidR="00BD639D" w:rsidRPr="0090474D" w:rsidRDefault="00BD639D" w:rsidP="008B739D">
      <w:pPr>
        <w:pStyle w:val="Corpodeltesto"/>
        <w:numPr>
          <w:ilvl w:val="0"/>
          <w:numId w:val="10"/>
        </w:numPr>
        <w:spacing w:before="120"/>
        <w:jc w:val="both"/>
        <w:rPr>
          <w:rFonts w:ascii="Times New Roman" w:hAnsi="Times New Roman" w:cs="Times New Roman"/>
        </w:rPr>
      </w:pPr>
      <w:r w:rsidRPr="0090474D">
        <w:rPr>
          <w:rFonts w:ascii="Times New Roman" w:hAnsi="Times New Roman" w:cs="Times New Roman"/>
        </w:rPr>
        <w:t>eliminare le società e le partecipazioni non indispensabili al perseguimento delle finalità istituzionali, anche mediante liquidazioni o cessioni;</w:t>
      </w:r>
    </w:p>
    <w:p w:rsidR="00BD639D" w:rsidRPr="0090474D" w:rsidRDefault="00BD639D" w:rsidP="008B739D">
      <w:pPr>
        <w:pStyle w:val="Corpodeltesto"/>
        <w:numPr>
          <w:ilvl w:val="0"/>
          <w:numId w:val="10"/>
        </w:numPr>
        <w:spacing w:before="120"/>
        <w:jc w:val="both"/>
        <w:rPr>
          <w:rFonts w:ascii="Times New Roman" w:hAnsi="Times New Roman" w:cs="Times New Roman"/>
        </w:rPr>
      </w:pPr>
      <w:r w:rsidRPr="0090474D">
        <w:rPr>
          <w:rFonts w:ascii="Times New Roman" w:hAnsi="Times New Roman" w:cs="Times New Roman"/>
        </w:rPr>
        <w:t>sopprimere le società che risultino composte da soli amministratori o da un numero di amministratori superiore a quello dei dipendenti;</w:t>
      </w:r>
    </w:p>
    <w:p w:rsidR="00BD639D" w:rsidRPr="0090474D" w:rsidRDefault="00BD639D" w:rsidP="008B739D">
      <w:pPr>
        <w:pStyle w:val="Corpodeltesto"/>
        <w:numPr>
          <w:ilvl w:val="0"/>
          <w:numId w:val="10"/>
        </w:numPr>
        <w:spacing w:before="120"/>
        <w:jc w:val="both"/>
        <w:rPr>
          <w:rFonts w:ascii="Times New Roman" w:hAnsi="Times New Roman" w:cs="Times New Roman"/>
        </w:rPr>
      </w:pPr>
      <w:r w:rsidRPr="0090474D">
        <w:rPr>
          <w:rFonts w:ascii="Times New Roman" w:hAnsi="Times New Roman" w:cs="Times New Roman"/>
        </w:rPr>
        <w:t>eliminare le partecipazioni in società che svolgono attività analoghe o similari a quelle svolte da altre società partecipate o da enti pubblici strumentali, anche mediante operazioni di fusione o di internalizzazione delle funzioni;</w:t>
      </w:r>
    </w:p>
    <w:p w:rsidR="00BD639D" w:rsidRPr="0090474D" w:rsidRDefault="00BD639D" w:rsidP="008B739D">
      <w:pPr>
        <w:pStyle w:val="Corpodeltesto"/>
        <w:numPr>
          <w:ilvl w:val="0"/>
          <w:numId w:val="10"/>
        </w:numPr>
        <w:spacing w:before="120"/>
        <w:jc w:val="both"/>
        <w:rPr>
          <w:rFonts w:ascii="Times New Roman" w:hAnsi="Times New Roman" w:cs="Times New Roman"/>
        </w:rPr>
      </w:pPr>
      <w:r w:rsidRPr="0090474D">
        <w:rPr>
          <w:rFonts w:ascii="Times New Roman" w:hAnsi="Times New Roman" w:cs="Times New Roman"/>
        </w:rPr>
        <w:t>aggregare società di servizi pubblici locali di rilevanza economica;</w:t>
      </w:r>
    </w:p>
    <w:p w:rsidR="00BD639D" w:rsidRPr="0090474D" w:rsidRDefault="00BD639D" w:rsidP="008B739D">
      <w:pPr>
        <w:pStyle w:val="Corpodeltesto"/>
        <w:numPr>
          <w:ilvl w:val="0"/>
          <w:numId w:val="10"/>
        </w:numPr>
        <w:spacing w:before="120"/>
        <w:jc w:val="both"/>
        <w:rPr>
          <w:rFonts w:ascii="Times New Roman" w:hAnsi="Times New Roman" w:cs="Times New Roman"/>
        </w:rPr>
      </w:pPr>
      <w:r w:rsidRPr="0090474D">
        <w:rPr>
          <w:rFonts w:ascii="Times New Roman" w:hAnsi="Times New Roman" w:cs="Times New Roman"/>
        </w:rPr>
        <w:t>contenere i costi di funzionamento, anche mediante la riorganizzazione degli organi amministrativi e di controllo e delle strutture aziendali, ovvero riducendo le relative remunerazioni.</w:t>
      </w:r>
    </w:p>
    <w:p w:rsidR="00BD639D" w:rsidRPr="0090474D" w:rsidRDefault="00BD639D" w:rsidP="00BD639D">
      <w:pPr>
        <w:pStyle w:val="Corpodeltesto"/>
        <w:spacing w:before="120"/>
        <w:jc w:val="both"/>
        <w:rPr>
          <w:rFonts w:ascii="Times New Roman" w:hAnsi="Times New Roman" w:cs="Times New Roman"/>
        </w:rPr>
      </w:pPr>
    </w:p>
    <w:p w:rsidR="00BD639D" w:rsidRPr="0090474D" w:rsidRDefault="00201278" w:rsidP="00201278">
      <w:pPr>
        <w:keepNext/>
        <w:widowControl w:val="0"/>
        <w:shd w:val="clear" w:color="auto" w:fill="B8CCE4" w:themeFill="accent1" w:themeFillTint="66"/>
        <w:spacing w:line="280" w:lineRule="exact"/>
        <w:outlineLvl w:val="1"/>
        <w:rPr>
          <w:b/>
          <w:sz w:val="22"/>
          <w:szCs w:val="22"/>
        </w:rPr>
      </w:pPr>
      <w:r w:rsidRPr="0090474D">
        <w:rPr>
          <w:b/>
          <w:sz w:val="22"/>
          <w:szCs w:val="22"/>
        </w:rPr>
        <w:t xml:space="preserve">2. </w:t>
      </w:r>
      <w:r w:rsidR="00BD639D" w:rsidRPr="0090474D">
        <w:rPr>
          <w:b/>
          <w:sz w:val="22"/>
          <w:szCs w:val="22"/>
        </w:rPr>
        <w:t>Piano operativo e rendicontazione</w:t>
      </w:r>
    </w:p>
    <w:p w:rsidR="00892091"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 xml:space="preserve">Il comma 612 </w:t>
      </w:r>
      <w:r w:rsidR="00201278" w:rsidRPr="0090474D">
        <w:rPr>
          <w:rFonts w:ascii="Times New Roman" w:hAnsi="Times New Roman" w:cs="Times New Roman"/>
        </w:rPr>
        <w:t xml:space="preserve">della legge 190/2014 </w:t>
      </w:r>
      <w:r w:rsidRPr="0090474D">
        <w:rPr>
          <w:rFonts w:ascii="Times New Roman" w:hAnsi="Times New Roman" w:cs="Times New Roman"/>
        </w:rPr>
        <w:t>prevede che i sindaci e gli altri organi di vertice delle amministrazioni, “</w:t>
      </w:r>
      <w:r w:rsidRPr="0090474D">
        <w:rPr>
          <w:rFonts w:ascii="Times New Roman" w:hAnsi="Times New Roman" w:cs="Times New Roman"/>
          <w:i/>
        </w:rPr>
        <w:t>in relazione ai rispettivi ambiti di competenza</w:t>
      </w:r>
      <w:r w:rsidRPr="0090474D">
        <w:rPr>
          <w:rFonts w:ascii="Times New Roman" w:hAnsi="Times New Roman" w:cs="Times New Roman"/>
        </w:rPr>
        <w:t xml:space="preserve">”, definiscano e approvino, entro il 31 marzo 2015, un piano operativo di razionalizzazione delle </w:t>
      </w:r>
      <w:r w:rsidR="00892091" w:rsidRPr="0090474D">
        <w:rPr>
          <w:rFonts w:ascii="Times New Roman" w:hAnsi="Times New Roman" w:cs="Times New Roman"/>
        </w:rPr>
        <w:t xml:space="preserve">società e delle partecipazioni.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 xml:space="preserve">Il piano è trasmesso alla competente sezione regionale di controllo della Corte dei conti e pubblicato nel sito internet dell'amministrazione.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La pubblicazione è obbligatoria agli effetti del “</w:t>
      </w:r>
      <w:r w:rsidRPr="0090474D">
        <w:rPr>
          <w:rFonts w:ascii="Times New Roman" w:hAnsi="Times New Roman" w:cs="Times New Roman"/>
          <w:i/>
        </w:rPr>
        <w:t>decreto trasparenza</w:t>
      </w:r>
      <w:r w:rsidRPr="0090474D">
        <w:rPr>
          <w:rFonts w:ascii="Times New Roman" w:hAnsi="Times New Roman" w:cs="Times New Roman"/>
        </w:rPr>
        <w:t xml:space="preserve">” (d.lgs. 33/2013). Pertanto nel caso sia omessa è attivabile da chiunque l’istituto dell’accesso civico.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I sindaci e gli altri organi di vertice delle amministrazioni, “</w:t>
      </w:r>
      <w:r w:rsidRPr="0090474D">
        <w:rPr>
          <w:rFonts w:ascii="Times New Roman" w:hAnsi="Times New Roman" w:cs="Times New Roman"/>
          <w:i/>
        </w:rPr>
        <w:t>in relazione ai rispettivi ambiti di competenza</w:t>
      </w:r>
      <w:r w:rsidRPr="0090474D">
        <w:rPr>
          <w:rFonts w:ascii="Times New Roman" w:hAnsi="Times New Roman" w:cs="Times New Roman"/>
        </w:rPr>
        <w:t xml:space="preserve">”, entro il 31 marzo 2016, hanno l’onere di predisporre una relazione sui risultati conseguiti.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Anche tale relazione “</w:t>
      </w:r>
      <w:r w:rsidRPr="0090474D">
        <w:rPr>
          <w:rFonts w:ascii="Times New Roman" w:hAnsi="Times New Roman" w:cs="Times New Roman"/>
          <w:i/>
        </w:rPr>
        <w:t>a consuntivo</w:t>
      </w:r>
      <w:r w:rsidRPr="0090474D">
        <w:rPr>
          <w:rFonts w:ascii="Times New Roman" w:hAnsi="Times New Roman" w:cs="Times New Roman"/>
        </w:rPr>
        <w:t xml:space="preserve">” deve essere trasmessa alla competente sezione regionale di controllo della Corte dei conti e, quindi, pubblicata nel sito internet dell'amministrazione interessata.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La pubblicazione della relazione è obbligatoria agli effetti del “</w:t>
      </w:r>
      <w:r w:rsidRPr="0090474D">
        <w:rPr>
          <w:rFonts w:ascii="Times New Roman" w:hAnsi="Times New Roman" w:cs="Times New Roman"/>
          <w:i/>
        </w:rPr>
        <w:t>decreto trasparenza</w:t>
      </w:r>
      <w:r w:rsidRPr="0090474D">
        <w:rPr>
          <w:rFonts w:ascii="Times New Roman" w:hAnsi="Times New Roman" w:cs="Times New Roman"/>
        </w:rPr>
        <w:t>” (d.lgs. 33/2013).</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 xml:space="preserve">Come sopra precisato la legge di stabilità </w:t>
      </w:r>
      <w:r w:rsidR="00201278" w:rsidRPr="0090474D">
        <w:rPr>
          <w:rFonts w:ascii="Times New Roman" w:hAnsi="Times New Roman" w:cs="Times New Roman"/>
        </w:rPr>
        <w:t xml:space="preserve">2015 </w:t>
      </w:r>
      <w:r w:rsidRPr="0090474D">
        <w:rPr>
          <w:rFonts w:ascii="Times New Roman" w:hAnsi="Times New Roman" w:cs="Times New Roman"/>
        </w:rPr>
        <w:t>individua nel sindaco e negli altri organi di vertice dell’amministrazione, “</w:t>
      </w:r>
      <w:r w:rsidRPr="0090474D">
        <w:rPr>
          <w:rFonts w:ascii="Times New Roman" w:hAnsi="Times New Roman" w:cs="Times New Roman"/>
          <w:i/>
        </w:rPr>
        <w:t>in relazione ai rispettivi ambiti di competenza</w:t>
      </w:r>
      <w:r w:rsidRPr="0090474D">
        <w:rPr>
          <w:rFonts w:ascii="Times New Roman" w:hAnsi="Times New Roman" w:cs="Times New Roman"/>
        </w:rPr>
        <w:t xml:space="preserve">”, i soggetti preposti ad approvare il piano operativo e la relazione a consuntivo. </w:t>
      </w:r>
    </w:p>
    <w:p w:rsidR="00BD639D" w:rsidRPr="0090474D" w:rsidRDefault="00BD639D" w:rsidP="00BD639D">
      <w:pPr>
        <w:pStyle w:val="Corpodeltesto"/>
        <w:spacing w:before="120"/>
        <w:jc w:val="both"/>
        <w:rPr>
          <w:rFonts w:ascii="Times New Roman" w:hAnsi="Times New Roman" w:cs="Times New Roman"/>
        </w:rPr>
      </w:pPr>
      <w:r w:rsidRPr="0090474D">
        <w:rPr>
          <w:rFonts w:ascii="Times New Roman" w:hAnsi="Times New Roman" w:cs="Times New Roman"/>
        </w:rPr>
        <w:t>Per osservare “</w:t>
      </w:r>
      <w:r w:rsidRPr="0090474D">
        <w:rPr>
          <w:rFonts w:ascii="Times New Roman" w:hAnsi="Times New Roman" w:cs="Times New Roman"/>
          <w:i/>
        </w:rPr>
        <w:t>alla lettera</w:t>
      </w:r>
      <w:r w:rsidRPr="0090474D">
        <w:rPr>
          <w:rFonts w:ascii="Times New Roman" w:hAnsi="Times New Roman" w:cs="Times New Roman"/>
        </w:rPr>
        <w:t>” il comma 612, che sembra voler coinvolgere anche la figura del sindac</w:t>
      </w:r>
      <w:r w:rsidR="00FF5340" w:rsidRPr="0090474D">
        <w:rPr>
          <w:rFonts w:ascii="Times New Roman" w:hAnsi="Times New Roman" w:cs="Times New Roman"/>
        </w:rPr>
        <w:t>o nel processo decisionale, le</w:t>
      </w:r>
      <w:r w:rsidRPr="0090474D">
        <w:rPr>
          <w:rFonts w:ascii="Times New Roman" w:hAnsi="Times New Roman" w:cs="Times New Roman"/>
        </w:rPr>
        <w:t xml:space="preserve"> deliberazioni di approvazione del piano operativo e della relazione potranno essere assunte “</w:t>
      </w:r>
      <w:r w:rsidRPr="0090474D">
        <w:rPr>
          <w:rFonts w:ascii="Times New Roman" w:hAnsi="Times New Roman" w:cs="Times New Roman"/>
          <w:i/>
        </w:rPr>
        <w:t>su proposta</w:t>
      </w:r>
      <w:r w:rsidRPr="0090474D">
        <w:rPr>
          <w:rFonts w:ascii="Times New Roman" w:hAnsi="Times New Roman" w:cs="Times New Roman"/>
        </w:rPr>
        <w:t xml:space="preserve">” proprio del sindaco.  </w:t>
      </w:r>
    </w:p>
    <w:p w:rsidR="00BD639D" w:rsidRPr="0090474D" w:rsidRDefault="00BD639D" w:rsidP="00BD639D">
      <w:pPr>
        <w:pStyle w:val="Corpodeltesto"/>
        <w:spacing w:before="120"/>
        <w:jc w:val="both"/>
        <w:rPr>
          <w:rFonts w:ascii="Times New Roman" w:hAnsi="Times New Roman" w:cs="Times New Roman"/>
        </w:rPr>
      </w:pPr>
    </w:p>
    <w:p w:rsidR="00FF5340" w:rsidRPr="0090474D" w:rsidRDefault="000A5B57" w:rsidP="00774395">
      <w:pPr>
        <w:keepNext/>
        <w:widowControl w:val="0"/>
        <w:shd w:val="clear" w:color="auto" w:fill="B8CCE4" w:themeFill="accent1" w:themeFillTint="66"/>
        <w:spacing w:line="280" w:lineRule="exact"/>
        <w:outlineLvl w:val="1"/>
        <w:rPr>
          <w:b/>
          <w:sz w:val="22"/>
          <w:szCs w:val="22"/>
        </w:rPr>
      </w:pPr>
      <w:r w:rsidRPr="0090474D">
        <w:rPr>
          <w:b/>
          <w:sz w:val="22"/>
          <w:szCs w:val="22"/>
        </w:rPr>
        <w:lastRenderedPageBreak/>
        <w:t>3</w:t>
      </w:r>
      <w:r w:rsidR="00774395" w:rsidRPr="0090474D">
        <w:rPr>
          <w:b/>
          <w:sz w:val="22"/>
          <w:szCs w:val="22"/>
        </w:rPr>
        <w:t xml:space="preserve">. </w:t>
      </w:r>
      <w:r w:rsidR="00FF5340" w:rsidRPr="0090474D">
        <w:rPr>
          <w:b/>
          <w:sz w:val="22"/>
          <w:szCs w:val="22"/>
        </w:rPr>
        <w:t>Finalità istituzionali</w:t>
      </w:r>
    </w:p>
    <w:p w:rsidR="00FF5340" w:rsidRPr="0090474D" w:rsidRDefault="00FF5340" w:rsidP="00FF5340">
      <w:pPr>
        <w:pStyle w:val="Corpodeltesto"/>
        <w:spacing w:before="120"/>
        <w:jc w:val="both"/>
        <w:rPr>
          <w:rFonts w:ascii="Times New Roman" w:hAnsi="Times New Roman" w:cs="Times New Roman"/>
        </w:rPr>
      </w:pPr>
      <w:r w:rsidRPr="0090474D">
        <w:rPr>
          <w:rFonts w:ascii="Times New Roman" w:hAnsi="Times New Roman" w:cs="Times New Roman"/>
        </w:rPr>
        <w:t>La legge 190/2014 conserva espressamente i vincoli posti dai commi 27-29 dell’articolo 3 della legge 244/2007, che recano il divieto generale di “</w:t>
      </w:r>
      <w:r w:rsidRPr="0090474D">
        <w:rPr>
          <w:rFonts w:ascii="Times New Roman" w:hAnsi="Times New Roman" w:cs="Times New Roman"/>
          <w:i/>
        </w:rPr>
        <w:t>costituire società aventi per oggetto attività di produzione di beni e di servizi non strettamente necessarie per il perseguimento delle proprie finalità istituzionali, né assumere o mantenere direttamente partecipazioni, anche di minoranza, in tali società</w:t>
      </w:r>
      <w:r w:rsidRPr="0090474D">
        <w:rPr>
          <w:rFonts w:ascii="Times New Roman" w:hAnsi="Times New Roman" w:cs="Times New Roman"/>
        </w:rPr>
        <w:t xml:space="preserve">”. </w:t>
      </w:r>
    </w:p>
    <w:p w:rsidR="00FF5340" w:rsidRPr="0090474D" w:rsidRDefault="00FF5340" w:rsidP="00FF5340">
      <w:pPr>
        <w:pStyle w:val="Corpodeltesto"/>
        <w:spacing w:before="120"/>
        <w:jc w:val="both"/>
        <w:rPr>
          <w:rFonts w:ascii="Times New Roman" w:hAnsi="Times New Roman" w:cs="Times New Roman"/>
        </w:rPr>
      </w:pPr>
      <w:r w:rsidRPr="0090474D">
        <w:rPr>
          <w:rFonts w:ascii="Times New Roman" w:hAnsi="Times New Roman" w:cs="Times New Roman"/>
        </w:rPr>
        <w:t xml:space="preserve">E’ sempre ammessa la costituzione di società che producano servizi di interesse generale, che forniscano servizi di committenza o di centrali di committenza a livello regionale a supporto di enti senza scopo di lucro e di amministrazioni aggiudicatrici. </w:t>
      </w:r>
    </w:p>
    <w:p w:rsidR="00FF5340" w:rsidRPr="0090474D" w:rsidRDefault="00FF5340" w:rsidP="00FF5340">
      <w:pPr>
        <w:pStyle w:val="Corpodeltesto"/>
        <w:spacing w:before="120"/>
        <w:jc w:val="both"/>
        <w:rPr>
          <w:rFonts w:ascii="Times New Roman" w:hAnsi="Times New Roman" w:cs="Times New Roman"/>
        </w:rPr>
      </w:pPr>
      <w:r w:rsidRPr="0090474D">
        <w:rPr>
          <w:rFonts w:ascii="Times New Roman" w:hAnsi="Times New Roman" w:cs="Times New Roman"/>
        </w:rPr>
        <w:t xml:space="preserve">L’acquisto di nuove partecipazioni e, una tantum, il mantenimento di quelle in essere, devono sempre essere autorizzate dall’organo consiliare con deliberazione motivata da trasmettere alla sezione regionale di controllo della Corte dei conti. </w:t>
      </w:r>
    </w:p>
    <w:p w:rsidR="003D1B53" w:rsidRPr="0090474D" w:rsidRDefault="003D1B53" w:rsidP="00BD639D">
      <w:pPr>
        <w:pStyle w:val="Corpodeltesto"/>
        <w:spacing w:before="120"/>
        <w:jc w:val="both"/>
        <w:rPr>
          <w:rFonts w:ascii="Times New Roman" w:hAnsi="Times New Roman" w:cs="Times New Roman"/>
        </w:rPr>
      </w:pPr>
    </w:p>
    <w:p w:rsidR="00550BEE" w:rsidRPr="0090474D" w:rsidRDefault="00550BEE" w:rsidP="007659C0">
      <w:pPr>
        <w:keepNext/>
        <w:widowControl w:val="0"/>
        <w:shd w:val="clear" w:color="auto" w:fill="B8CCE4" w:themeFill="accent1" w:themeFillTint="66"/>
        <w:spacing w:line="280" w:lineRule="exact"/>
        <w:jc w:val="center"/>
        <w:outlineLvl w:val="1"/>
        <w:rPr>
          <w:b/>
          <w:sz w:val="22"/>
          <w:szCs w:val="22"/>
        </w:rPr>
      </w:pPr>
      <w:r w:rsidRPr="0090474D">
        <w:rPr>
          <w:b/>
          <w:sz w:val="22"/>
          <w:szCs w:val="22"/>
        </w:rPr>
        <w:t>I</w:t>
      </w:r>
      <w:r w:rsidR="007659C0" w:rsidRPr="0090474D">
        <w:rPr>
          <w:b/>
          <w:sz w:val="22"/>
          <w:szCs w:val="22"/>
        </w:rPr>
        <w:t>I</w:t>
      </w:r>
      <w:r w:rsidRPr="0090474D">
        <w:rPr>
          <w:b/>
          <w:sz w:val="22"/>
          <w:szCs w:val="22"/>
        </w:rPr>
        <w:t xml:space="preserve"> – Le partecipazioni dell’ente</w:t>
      </w:r>
    </w:p>
    <w:p w:rsidR="004860C5" w:rsidRPr="0090474D" w:rsidRDefault="004860C5" w:rsidP="000E17F3">
      <w:pPr>
        <w:pStyle w:val="Corpodeltesto"/>
        <w:spacing w:before="120"/>
        <w:jc w:val="both"/>
        <w:rPr>
          <w:rFonts w:ascii="Times New Roman" w:hAnsi="Times New Roman" w:cs="Times New Roman"/>
        </w:rPr>
      </w:pPr>
    </w:p>
    <w:p w:rsidR="007659C0" w:rsidRPr="0090474D" w:rsidRDefault="007659C0" w:rsidP="007659C0">
      <w:pPr>
        <w:keepNext/>
        <w:widowControl w:val="0"/>
        <w:shd w:val="clear" w:color="auto" w:fill="B8CCE4" w:themeFill="accent1" w:themeFillTint="66"/>
        <w:spacing w:line="280" w:lineRule="exact"/>
        <w:outlineLvl w:val="1"/>
        <w:rPr>
          <w:b/>
          <w:sz w:val="22"/>
          <w:szCs w:val="22"/>
        </w:rPr>
      </w:pPr>
      <w:r w:rsidRPr="0090474D">
        <w:rPr>
          <w:b/>
          <w:sz w:val="22"/>
          <w:szCs w:val="22"/>
        </w:rPr>
        <w:t xml:space="preserve">1. Le partecipazioni societarie </w:t>
      </w:r>
    </w:p>
    <w:p w:rsidR="00550BEE" w:rsidRPr="0090474D" w:rsidRDefault="00430E8B" w:rsidP="000E17F3">
      <w:pPr>
        <w:pStyle w:val="Corpodeltesto"/>
        <w:spacing w:before="120"/>
        <w:jc w:val="both"/>
        <w:rPr>
          <w:rFonts w:ascii="Times New Roman" w:hAnsi="Times New Roman" w:cs="Times New Roman"/>
        </w:rPr>
      </w:pPr>
      <w:r w:rsidRPr="0090474D">
        <w:rPr>
          <w:rFonts w:ascii="Times New Roman" w:hAnsi="Times New Roman" w:cs="Times New Roman"/>
        </w:rPr>
        <w:t xml:space="preserve">Il comune di </w:t>
      </w:r>
      <w:r w:rsidR="008D4E8D" w:rsidRPr="0090474D">
        <w:rPr>
          <w:rFonts w:ascii="Times New Roman" w:hAnsi="Times New Roman" w:cs="Times New Roman"/>
        </w:rPr>
        <w:t>Reggello</w:t>
      </w:r>
      <w:r w:rsidR="004F4C93" w:rsidRPr="0090474D">
        <w:rPr>
          <w:rFonts w:ascii="Times New Roman" w:hAnsi="Times New Roman" w:cs="Times New Roman"/>
        </w:rPr>
        <w:t xml:space="preserve"> </w:t>
      </w:r>
      <w:r w:rsidRPr="0090474D">
        <w:rPr>
          <w:rFonts w:ascii="Times New Roman" w:hAnsi="Times New Roman" w:cs="Times New Roman"/>
        </w:rPr>
        <w:t xml:space="preserve">partecipa al capitale delle seguenti società: </w:t>
      </w:r>
    </w:p>
    <w:p w:rsidR="00430E8B" w:rsidRPr="0090474D" w:rsidRDefault="004F4C93"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 xml:space="preserve">Società </w:t>
      </w:r>
      <w:r w:rsidR="001E79BC" w:rsidRPr="0090474D">
        <w:rPr>
          <w:rFonts w:ascii="Times New Roman" w:hAnsi="Times New Roman" w:cs="Times New Roman"/>
        </w:rPr>
        <w:t>A.E.R. Ambiente, Energia, Risorse spa con una quota dell’0,36%.</w:t>
      </w:r>
      <w:r w:rsidR="00430E8B" w:rsidRPr="0090474D">
        <w:rPr>
          <w:rFonts w:ascii="Times New Roman" w:hAnsi="Times New Roman" w:cs="Times New Roman"/>
        </w:rPr>
        <w:t xml:space="preserve"> </w:t>
      </w:r>
    </w:p>
    <w:p w:rsidR="00430E8B" w:rsidRPr="0090474D" w:rsidRDefault="004F4C93"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Società</w:t>
      </w:r>
      <w:r w:rsidR="00430E8B" w:rsidRPr="0090474D">
        <w:rPr>
          <w:rFonts w:ascii="Times New Roman" w:hAnsi="Times New Roman" w:cs="Times New Roman"/>
        </w:rPr>
        <w:t xml:space="preserve"> </w:t>
      </w:r>
      <w:r w:rsidR="001E79BC" w:rsidRPr="0090474D">
        <w:rPr>
          <w:rFonts w:ascii="Times New Roman" w:hAnsi="Times New Roman" w:cs="Times New Roman"/>
        </w:rPr>
        <w:t>A.E.R. Impianti srl</w:t>
      </w:r>
      <w:r w:rsidR="0020704B" w:rsidRPr="0090474D">
        <w:rPr>
          <w:rFonts w:ascii="Times New Roman" w:hAnsi="Times New Roman" w:cs="Times New Roman"/>
        </w:rPr>
        <w:t xml:space="preserve"> con una quota del </w:t>
      </w:r>
      <w:r w:rsidR="001E79BC" w:rsidRPr="0090474D">
        <w:rPr>
          <w:rFonts w:ascii="Times New Roman" w:hAnsi="Times New Roman" w:cs="Times New Roman"/>
        </w:rPr>
        <w:t>7,75</w:t>
      </w:r>
      <w:r w:rsidR="00430E8B" w:rsidRPr="0090474D">
        <w:rPr>
          <w:rFonts w:ascii="Times New Roman" w:hAnsi="Times New Roman" w:cs="Times New Roman"/>
        </w:rPr>
        <w:t xml:space="preserve">%; </w:t>
      </w:r>
    </w:p>
    <w:p w:rsidR="00430E8B" w:rsidRPr="0090474D" w:rsidRDefault="004F4C93"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 xml:space="preserve">Società </w:t>
      </w:r>
      <w:r w:rsidR="001E79BC" w:rsidRPr="0090474D">
        <w:rPr>
          <w:rFonts w:ascii="Times New Roman" w:hAnsi="Times New Roman" w:cs="Times New Roman"/>
        </w:rPr>
        <w:t>Casa spa</w:t>
      </w:r>
      <w:r w:rsidR="0020704B" w:rsidRPr="0090474D">
        <w:rPr>
          <w:rFonts w:ascii="Times New Roman" w:hAnsi="Times New Roman" w:cs="Times New Roman"/>
        </w:rPr>
        <w:t xml:space="preserve"> con una quota de</w:t>
      </w:r>
      <w:r w:rsidR="001E79BC" w:rsidRPr="0090474D">
        <w:rPr>
          <w:rFonts w:ascii="Times New Roman" w:hAnsi="Times New Roman" w:cs="Times New Roman"/>
        </w:rPr>
        <w:t>ll’</w:t>
      </w:r>
      <w:r w:rsidR="0020704B" w:rsidRPr="0090474D">
        <w:rPr>
          <w:rFonts w:ascii="Times New Roman" w:hAnsi="Times New Roman" w:cs="Times New Roman"/>
        </w:rPr>
        <w:t>1</w:t>
      </w:r>
      <w:r w:rsidR="00430E8B" w:rsidRPr="0090474D">
        <w:rPr>
          <w:rFonts w:ascii="Times New Roman" w:hAnsi="Times New Roman" w:cs="Times New Roman"/>
        </w:rPr>
        <w:t xml:space="preserve">%; </w:t>
      </w:r>
    </w:p>
    <w:p w:rsidR="00FE01B7" w:rsidRPr="0090474D" w:rsidRDefault="004F4C93"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S</w:t>
      </w:r>
      <w:r w:rsidR="00FE01B7" w:rsidRPr="0090474D">
        <w:rPr>
          <w:rFonts w:ascii="Times New Roman" w:hAnsi="Times New Roman" w:cs="Times New Roman"/>
        </w:rPr>
        <w:t xml:space="preserve">ocietà </w:t>
      </w:r>
      <w:proofErr w:type="spellStart"/>
      <w:r w:rsidR="001E79BC" w:rsidRPr="0090474D">
        <w:rPr>
          <w:rFonts w:ascii="Times New Roman" w:hAnsi="Times New Roman" w:cs="Times New Roman"/>
        </w:rPr>
        <w:t>Farmavaldarno</w:t>
      </w:r>
      <w:proofErr w:type="spellEnd"/>
      <w:r w:rsidR="001E79BC" w:rsidRPr="0090474D">
        <w:rPr>
          <w:rFonts w:ascii="Times New Roman" w:hAnsi="Times New Roman" w:cs="Times New Roman"/>
        </w:rPr>
        <w:t xml:space="preserve"> spa</w:t>
      </w:r>
      <w:r w:rsidR="0020704B" w:rsidRPr="0090474D">
        <w:rPr>
          <w:rFonts w:ascii="Times New Roman" w:hAnsi="Times New Roman" w:cs="Times New Roman"/>
        </w:rPr>
        <w:t xml:space="preserve"> una quota del </w:t>
      </w:r>
      <w:r w:rsidR="001E79BC" w:rsidRPr="0090474D">
        <w:rPr>
          <w:rFonts w:ascii="Times New Roman" w:hAnsi="Times New Roman" w:cs="Times New Roman"/>
        </w:rPr>
        <w:t>7,75%</w:t>
      </w:r>
      <w:r w:rsidR="0020704B" w:rsidRPr="0090474D">
        <w:rPr>
          <w:rFonts w:ascii="Times New Roman" w:hAnsi="Times New Roman" w:cs="Times New Roman"/>
        </w:rPr>
        <w:t>%</w:t>
      </w:r>
      <w:r w:rsidR="00FE01B7" w:rsidRPr="0090474D">
        <w:rPr>
          <w:rFonts w:ascii="Times New Roman" w:hAnsi="Times New Roman" w:cs="Times New Roman"/>
        </w:rPr>
        <w:t xml:space="preserve">; </w:t>
      </w:r>
    </w:p>
    <w:p w:rsidR="007A636A" w:rsidRPr="0090474D" w:rsidRDefault="001E79BC"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 xml:space="preserve">Società </w:t>
      </w:r>
      <w:proofErr w:type="spellStart"/>
      <w:r w:rsidRPr="0090474D">
        <w:rPr>
          <w:rFonts w:ascii="Times New Roman" w:hAnsi="Times New Roman" w:cs="Times New Roman"/>
        </w:rPr>
        <w:t>Publiacqua</w:t>
      </w:r>
      <w:proofErr w:type="spellEnd"/>
      <w:r w:rsidRPr="0090474D">
        <w:rPr>
          <w:rFonts w:ascii="Times New Roman" w:hAnsi="Times New Roman" w:cs="Times New Roman"/>
        </w:rPr>
        <w:t xml:space="preserve"> spa con una quota </w:t>
      </w:r>
      <w:r w:rsidR="0020704B" w:rsidRPr="0090474D">
        <w:rPr>
          <w:rFonts w:ascii="Times New Roman" w:hAnsi="Times New Roman" w:cs="Times New Roman"/>
        </w:rPr>
        <w:t>dello 0,</w:t>
      </w:r>
      <w:r w:rsidRPr="0090474D">
        <w:rPr>
          <w:rFonts w:ascii="Times New Roman" w:hAnsi="Times New Roman" w:cs="Times New Roman"/>
        </w:rPr>
        <w:t>704</w:t>
      </w:r>
      <w:r w:rsidR="007A636A" w:rsidRPr="0090474D">
        <w:rPr>
          <w:rFonts w:ascii="Times New Roman" w:hAnsi="Times New Roman" w:cs="Times New Roman"/>
        </w:rPr>
        <w:t>%;</w:t>
      </w:r>
    </w:p>
    <w:p w:rsidR="00430E8B" w:rsidRDefault="007A636A"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Società Toscana Energia spa con una quota dello 0,0087%;</w:t>
      </w:r>
      <w:r w:rsidR="004F4C93" w:rsidRPr="0090474D">
        <w:rPr>
          <w:rFonts w:ascii="Times New Roman" w:hAnsi="Times New Roman" w:cs="Times New Roman"/>
        </w:rPr>
        <w:t xml:space="preserve"> </w:t>
      </w:r>
    </w:p>
    <w:p w:rsidR="00975388" w:rsidRPr="0090474D" w:rsidRDefault="00975388" w:rsidP="00BE16C5">
      <w:pPr>
        <w:pStyle w:val="Corpodeltesto"/>
        <w:numPr>
          <w:ilvl w:val="0"/>
          <w:numId w:val="14"/>
        </w:numPr>
        <w:spacing w:before="120"/>
        <w:jc w:val="both"/>
        <w:rPr>
          <w:rFonts w:ascii="Times New Roman" w:hAnsi="Times New Roman" w:cs="Times New Roman"/>
        </w:rPr>
      </w:pPr>
      <w:r>
        <w:rPr>
          <w:rFonts w:ascii="Times New Roman" w:hAnsi="Times New Roman" w:cs="Times New Roman"/>
        </w:rPr>
        <w:t xml:space="preserve">Società OLCAS srl con una quota dell’1,59%, </w:t>
      </w:r>
    </w:p>
    <w:p w:rsidR="004F4C93" w:rsidRPr="0090474D" w:rsidRDefault="008F274B"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Società consortile Terre del Levante Fiorentino con una quota del 10% - già posta in liquidazione;</w:t>
      </w:r>
    </w:p>
    <w:p w:rsidR="008F274B" w:rsidRPr="0090474D" w:rsidRDefault="008F274B" w:rsidP="00BE16C5">
      <w:pPr>
        <w:pStyle w:val="Corpodeltesto"/>
        <w:numPr>
          <w:ilvl w:val="0"/>
          <w:numId w:val="14"/>
        </w:numPr>
        <w:spacing w:before="120"/>
        <w:jc w:val="both"/>
        <w:rPr>
          <w:rFonts w:ascii="Times New Roman" w:hAnsi="Times New Roman" w:cs="Times New Roman"/>
        </w:rPr>
      </w:pPr>
      <w:r w:rsidRPr="0090474D">
        <w:rPr>
          <w:rFonts w:ascii="Times New Roman" w:hAnsi="Times New Roman" w:cs="Times New Roman"/>
        </w:rPr>
        <w:t>Società Valdarno Sviluppo spa con una quota dell’1,42% - già posta in liquidazione.</w:t>
      </w:r>
    </w:p>
    <w:p w:rsidR="00627103" w:rsidRPr="0090474D" w:rsidRDefault="00627103" w:rsidP="000E17F3">
      <w:pPr>
        <w:pStyle w:val="Corpodeltesto"/>
        <w:spacing w:before="120"/>
        <w:jc w:val="both"/>
        <w:rPr>
          <w:rFonts w:ascii="Times New Roman" w:hAnsi="Times New Roman" w:cs="Times New Roman"/>
        </w:rPr>
      </w:pPr>
    </w:p>
    <w:p w:rsidR="00430E8B" w:rsidRPr="0090474D" w:rsidRDefault="00430E8B" w:rsidP="00430E8B">
      <w:pPr>
        <w:keepNext/>
        <w:widowControl w:val="0"/>
        <w:shd w:val="clear" w:color="auto" w:fill="B8CCE4" w:themeFill="accent1" w:themeFillTint="66"/>
        <w:spacing w:line="280" w:lineRule="exact"/>
        <w:outlineLvl w:val="1"/>
        <w:rPr>
          <w:b/>
          <w:sz w:val="22"/>
          <w:szCs w:val="22"/>
        </w:rPr>
      </w:pPr>
      <w:r w:rsidRPr="0090474D">
        <w:rPr>
          <w:b/>
          <w:sz w:val="22"/>
          <w:szCs w:val="22"/>
        </w:rPr>
        <w:t xml:space="preserve">2. Altre partecipazioni e associazionismo </w:t>
      </w:r>
    </w:p>
    <w:p w:rsidR="00430E8B" w:rsidRPr="0090474D" w:rsidRDefault="00430E8B" w:rsidP="000E17F3">
      <w:pPr>
        <w:pStyle w:val="Corpodeltesto"/>
        <w:spacing w:before="120"/>
        <w:jc w:val="both"/>
        <w:rPr>
          <w:rFonts w:ascii="Times New Roman" w:hAnsi="Times New Roman" w:cs="Times New Roman"/>
        </w:rPr>
      </w:pPr>
      <w:r w:rsidRPr="0090474D">
        <w:rPr>
          <w:rFonts w:ascii="Times New Roman" w:hAnsi="Times New Roman" w:cs="Times New Roman"/>
        </w:rPr>
        <w:t xml:space="preserve">Per completezza, si precisa che il comune di </w:t>
      </w:r>
      <w:r w:rsidR="008D4E8D" w:rsidRPr="0090474D">
        <w:rPr>
          <w:rFonts w:ascii="Times New Roman" w:hAnsi="Times New Roman" w:cs="Times New Roman"/>
        </w:rPr>
        <w:t>Reggello</w:t>
      </w:r>
      <w:r w:rsidRPr="0090474D">
        <w:rPr>
          <w:rFonts w:ascii="Times New Roman" w:hAnsi="Times New Roman" w:cs="Times New Roman"/>
        </w:rPr>
        <w:t xml:space="preserve"> fa parte della</w:t>
      </w:r>
      <w:r w:rsidR="008D4E8D" w:rsidRPr="0090474D">
        <w:rPr>
          <w:rFonts w:ascii="Times New Roman" w:hAnsi="Times New Roman" w:cs="Times New Roman"/>
        </w:rPr>
        <w:t xml:space="preserve"> Unione dei Comuni Valdarno/</w:t>
      </w:r>
      <w:proofErr w:type="spellStart"/>
      <w:r w:rsidR="008D4E8D" w:rsidRPr="0090474D">
        <w:rPr>
          <w:rFonts w:ascii="Times New Roman" w:hAnsi="Times New Roman" w:cs="Times New Roman"/>
        </w:rPr>
        <w:t>Valdisieve</w:t>
      </w:r>
      <w:proofErr w:type="spellEnd"/>
      <w:r w:rsidRPr="0090474D">
        <w:rPr>
          <w:rFonts w:ascii="Times New Roman" w:hAnsi="Times New Roman" w:cs="Times New Roman"/>
        </w:rPr>
        <w:t xml:space="preserve">. </w:t>
      </w:r>
    </w:p>
    <w:p w:rsidR="00B53D8E" w:rsidRPr="0090474D" w:rsidRDefault="00430E8B" w:rsidP="000E17F3">
      <w:pPr>
        <w:pStyle w:val="Corpodeltesto"/>
        <w:spacing w:before="120"/>
        <w:jc w:val="both"/>
        <w:rPr>
          <w:rFonts w:ascii="Times New Roman" w:hAnsi="Times New Roman" w:cs="Times New Roman"/>
        </w:rPr>
      </w:pPr>
      <w:r w:rsidRPr="0090474D">
        <w:rPr>
          <w:rFonts w:ascii="Times New Roman" w:hAnsi="Times New Roman" w:cs="Times New Roman"/>
        </w:rPr>
        <w:t xml:space="preserve">L’adesione alla </w:t>
      </w:r>
      <w:r w:rsidR="008D4E8D" w:rsidRPr="0090474D">
        <w:rPr>
          <w:rFonts w:ascii="Times New Roman" w:hAnsi="Times New Roman" w:cs="Times New Roman"/>
        </w:rPr>
        <w:t>Unione dei Comuni quale</w:t>
      </w:r>
      <w:r w:rsidRPr="0090474D">
        <w:rPr>
          <w:rFonts w:ascii="Times New Roman" w:hAnsi="Times New Roman" w:cs="Times New Roman"/>
        </w:rPr>
        <w:t xml:space="preserve"> “</w:t>
      </w:r>
      <w:r w:rsidRPr="0090474D">
        <w:rPr>
          <w:rFonts w:ascii="Times New Roman" w:hAnsi="Times New Roman" w:cs="Times New Roman"/>
          <w:i/>
        </w:rPr>
        <w:t>form</w:t>
      </w:r>
      <w:r w:rsidR="008D4E8D" w:rsidRPr="0090474D">
        <w:rPr>
          <w:rFonts w:ascii="Times New Roman" w:hAnsi="Times New Roman" w:cs="Times New Roman"/>
          <w:i/>
        </w:rPr>
        <w:t>a</w:t>
      </w:r>
      <w:r w:rsidRPr="0090474D">
        <w:rPr>
          <w:rFonts w:ascii="Times New Roman" w:hAnsi="Times New Roman" w:cs="Times New Roman"/>
          <w:i/>
        </w:rPr>
        <w:t xml:space="preserve"> associativ</w:t>
      </w:r>
      <w:r w:rsidR="008D4E8D" w:rsidRPr="0090474D">
        <w:rPr>
          <w:rFonts w:ascii="Times New Roman" w:hAnsi="Times New Roman" w:cs="Times New Roman"/>
          <w:i/>
        </w:rPr>
        <w:t>a</w:t>
      </w:r>
      <w:r w:rsidRPr="0090474D">
        <w:rPr>
          <w:rFonts w:ascii="Times New Roman" w:hAnsi="Times New Roman" w:cs="Times New Roman"/>
        </w:rPr>
        <w:t xml:space="preserve">” di cui al Capo </w:t>
      </w:r>
      <w:r w:rsidR="00E35303" w:rsidRPr="0090474D">
        <w:rPr>
          <w:rFonts w:ascii="Times New Roman" w:hAnsi="Times New Roman" w:cs="Times New Roman"/>
        </w:rPr>
        <w:t xml:space="preserve">V del Titolo II del d.lgs. 267/2000 (TUEL), non </w:t>
      </w:r>
      <w:r w:rsidR="008D4E8D" w:rsidRPr="0090474D">
        <w:rPr>
          <w:rFonts w:ascii="Times New Roman" w:hAnsi="Times New Roman" w:cs="Times New Roman"/>
        </w:rPr>
        <w:t>è</w:t>
      </w:r>
      <w:r w:rsidR="00E35303" w:rsidRPr="0090474D">
        <w:rPr>
          <w:rFonts w:ascii="Times New Roman" w:hAnsi="Times New Roman" w:cs="Times New Roman"/>
        </w:rPr>
        <w:t xml:space="preserve"> oggetto del presente Piano.</w:t>
      </w:r>
    </w:p>
    <w:p w:rsidR="008F274B" w:rsidRPr="0090474D" w:rsidRDefault="00151E73" w:rsidP="000E17F3">
      <w:pPr>
        <w:pStyle w:val="Corpodeltesto"/>
        <w:spacing w:before="120"/>
        <w:jc w:val="both"/>
        <w:rPr>
          <w:rFonts w:ascii="Times New Roman" w:hAnsi="Times New Roman" w:cs="Times New Roman"/>
        </w:rPr>
      </w:pPr>
      <w:r w:rsidRPr="0090474D">
        <w:rPr>
          <w:rFonts w:ascii="Times New Roman" w:hAnsi="Times New Roman" w:cs="Times New Roman"/>
        </w:rPr>
        <w:t>Inoltre, il Comune ha fatto parte della Società della salute della zona fiorentina sud est, società consortile di diritto pubblico, posta in liquidazione con conformi deliberazioni di tutte le Amministrazioni Comunali della zona predetta zona socio sanitaria e della Azienda Sanitaria ASL 10 di Firenze con decorrenza 1/4/2014.</w:t>
      </w:r>
    </w:p>
    <w:p w:rsidR="00430E8B" w:rsidRPr="0090474D" w:rsidRDefault="00E35303" w:rsidP="000E17F3">
      <w:pPr>
        <w:pStyle w:val="Corpodeltesto"/>
        <w:spacing w:before="120"/>
        <w:jc w:val="both"/>
        <w:rPr>
          <w:rFonts w:ascii="Times New Roman" w:hAnsi="Times New Roman" w:cs="Times New Roman"/>
        </w:rPr>
      </w:pPr>
      <w:r w:rsidRPr="0090474D">
        <w:rPr>
          <w:rFonts w:ascii="Times New Roman" w:hAnsi="Times New Roman" w:cs="Times New Roman"/>
        </w:rPr>
        <w:t xml:space="preserve"> </w:t>
      </w:r>
    </w:p>
    <w:p w:rsidR="00B53D8E" w:rsidRPr="0090474D" w:rsidRDefault="00B53D8E" w:rsidP="00B53D8E">
      <w:pPr>
        <w:keepNext/>
        <w:widowControl w:val="0"/>
        <w:shd w:val="clear" w:color="auto" w:fill="B8CCE4" w:themeFill="accent1" w:themeFillTint="66"/>
        <w:spacing w:line="280" w:lineRule="exact"/>
        <w:jc w:val="center"/>
        <w:outlineLvl w:val="1"/>
        <w:rPr>
          <w:b/>
          <w:sz w:val="22"/>
          <w:szCs w:val="22"/>
        </w:rPr>
      </w:pPr>
      <w:r w:rsidRPr="0090474D">
        <w:rPr>
          <w:b/>
          <w:sz w:val="22"/>
          <w:szCs w:val="22"/>
        </w:rPr>
        <w:t xml:space="preserve">III – Il Piano operativo di razionalizzazione </w:t>
      </w:r>
    </w:p>
    <w:p w:rsidR="00B53D8E" w:rsidRPr="0090474D" w:rsidRDefault="00B53D8E" w:rsidP="000E17F3">
      <w:pPr>
        <w:pStyle w:val="Corpodeltesto"/>
        <w:spacing w:before="120"/>
        <w:jc w:val="both"/>
        <w:rPr>
          <w:rFonts w:ascii="Times New Roman" w:hAnsi="Times New Roman" w:cs="Times New Roman"/>
        </w:rPr>
      </w:pPr>
    </w:p>
    <w:p w:rsidR="00B53D8E" w:rsidRPr="0090474D" w:rsidRDefault="0090474D" w:rsidP="002D1AA0">
      <w:pPr>
        <w:keepNext/>
        <w:widowControl w:val="0"/>
        <w:shd w:val="clear" w:color="auto" w:fill="B8CCE4" w:themeFill="accent1" w:themeFillTint="66"/>
        <w:spacing w:line="280" w:lineRule="exact"/>
        <w:jc w:val="center"/>
        <w:outlineLvl w:val="1"/>
        <w:rPr>
          <w:b/>
          <w:sz w:val="22"/>
          <w:szCs w:val="22"/>
        </w:rPr>
      </w:pPr>
      <w:r w:rsidRPr="0090474D">
        <w:rPr>
          <w:b/>
          <w:sz w:val="22"/>
          <w:szCs w:val="22"/>
        </w:rPr>
        <w:t>Società A.E.R. Ambiente, Energia, Risorse</w:t>
      </w:r>
    </w:p>
    <w:p w:rsidR="002D1AA0" w:rsidRDefault="002D1AA0" w:rsidP="002D1AA0">
      <w:pPr>
        <w:shd w:val="clear" w:color="auto" w:fill="FFFFFF"/>
        <w:spacing w:before="150"/>
        <w:jc w:val="both"/>
        <w:rPr>
          <w:sz w:val="22"/>
          <w:szCs w:val="22"/>
        </w:rPr>
      </w:pPr>
      <w:r w:rsidRPr="002D1AA0">
        <w:rPr>
          <w:sz w:val="22"/>
          <w:szCs w:val="22"/>
        </w:rPr>
        <w:t>A.E.R. è una società a prevalen</w:t>
      </w:r>
      <w:r>
        <w:rPr>
          <w:sz w:val="22"/>
          <w:szCs w:val="22"/>
        </w:rPr>
        <w:t xml:space="preserve">te capitale dei Comuni </w:t>
      </w:r>
      <w:r w:rsidR="007325BB">
        <w:rPr>
          <w:sz w:val="22"/>
          <w:szCs w:val="22"/>
        </w:rPr>
        <w:t>con un partecipazione minoritaria d</w:t>
      </w:r>
      <w:r w:rsidR="00CE53E6">
        <w:rPr>
          <w:sz w:val="22"/>
          <w:szCs w:val="22"/>
        </w:rPr>
        <w:t xml:space="preserve">el </w:t>
      </w:r>
      <w:r w:rsidR="007325BB">
        <w:rPr>
          <w:sz w:val="22"/>
          <w:szCs w:val="22"/>
        </w:rPr>
        <w:t>socio privato</w:t>
      </w:r>
      <w:r w:rsidR="00CE53E6">
        <w:rPr>
          <w:sz w:val="22"/>
          <w:szCs w:val="22"/>
        </w:rPr>
        <w:t xml:space="preserve"> </w:t>
      </w:r>
      <w:proofErr w:type="spellStart"/>
      <w:r w:rsidR="00CE53E6">
        <w:rPr>
          <w:sz w:val="22"/>
          <w:szCs w:val="22"/>
        </w:rPr>
        <w:t>Valdisieve</w:t>
      </w:r>
      <w:proofErr w:type="spellEnd"/>
      <w:r w:rsidR="00CE53E6">
        <w:rPr>
          <w:sz w:val="22"/>
          <w:szCs w:val="22"/>
        </w:rPr>
        <w:t xml:space="preserve"> </w:t>
      </w:r>
      <w:proofErr w:type="spellStart"/>
      <w:r w:rsidR="00CE53E6">
        <w:rPr>
          <w:sz w:val="22"/>
          <w:szCs w:val="22"/>
        </w:rPr>
        <w:t>s.c.a.r.l.</w:t>
      </w:r>
      <w:proofErr w:type="spellEnd"/>
      <w:r w:rsidR="00CE53E6">
        <w:rPr>
          <w:sz w:val="22"/>
          <w:szCs w:val="22"/>
        </w:rPr>
        <w:t xml:space="preserve"> con il 10% del capitale sociale</w:t>
      </w:r>
      <w:r>
        <w:rPr>
          <w:sz w:val="22"/>
          <w:szCs w:val="22"/>
        </w:rPr>
        <w:t>.</w:t>
      </w:r>
    </w:p>
    <w:p w:rsidR="002D1AA0" w:rsidRPr="002D1AA0" w:rsidRDefault="002D1AA0" w:rsidP="002D1AA0">
      <w:pPr>
        <w:shd w:val="clear" w:color="auto" w:fill="FFFFFF"/>
        <w:spacing w:before="150"/>
        <w:jc w:val="both"/>
        <w:rPr>
          <w:sz w:val="22"/>
          <w:szCs w:val="22"/>
        </w:rPr>
      </w:pPr>
      <w:r w:rsidRPr="002D1AA0">
        <w:rPr>
          <w:sz w:val="22"/>
          <w:szCs w:val="22"/>
        </w:rPr>
        <w:t>L’impegno dell’azienda  si concretizza in una serie di servizi che l’azienda svolge nei diversi Comuni serviti.</w:t>
      </w:r>
      <w:r w:rsidRPr="002D1AA0">
        <w:rPr>
          <w:sz w:val="22"/>
          <w:szCs w:val="22"/>
        </w:rPr>
        <w:br/>
      </w:r>
      <w:r w:rsidRPr="002D1AA0">
        <w:rPr>
          <w:sz w:val="22"/>
          <w:szCs w:val="22"/>
        </w:rPr>
        <w:lastRenderedPageBreak/>
        <w:t>Qui di seguito è riportata la totalità di tali servizi tra i quali le diverse amministrazioni comunali scelgono quelli più adatti alle esigenze del proprio territorio:</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della carta e cartone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di multi-materiale (vetro, plastica, lattine e poliaccoppiati)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della frazione organica</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rifiuti solidi urbani (i rifiuti che non è possibile conferire in raccolta differenziata)</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Smaltimento dei rifiuti indifferenziabili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degli sfalci e potature da aree private e pubbliche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di abiti, scarpe e tessili in genere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rifiuti ingombranti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del legno</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di farmaci, pile ed accumulatori al piombo</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degli olii minerali e alimentari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delle cartucce esaurite di toner ed inchiostro per stampante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Raccolta differenziata dei rifiuti elettronici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Trasporto e conferimento dei rifiuti differenziati presso impianti autorizzati al trattamento e recupero degli stessi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Interventi di rimozione amianto</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Rimozione scarichi abusivi</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Spazzamento stradale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Pulizia di mercati e luoghi adibiti a manifestazioni pubbliche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Manutenzione del verde pubblico</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Servizi di disinfestazione e derattizzazione delle aree pubbliche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Gestione dei centri di raccolta/stazioni ecologiche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Gestione TIA (Tariffa di igiene ambientale)</w:t>
      </w:r>
    </w:p>
    <w:p w:rsidR="002D1AA0" w:rsidRPr="002D1AA0" w:rsidRDefault="002D1AA0" w:rsidP="002D1AA0">
      <w:pPr>
        <w:numPr>
          <w:ilvl w:val="0"/>
          <w:numId w:val="20"/>
        </w:numPr>
        <w:shd w:val="clear" w:color="auto" w:fill="FFFFFF"/>
        <w:spacing w:before="100" w:beforeAutospacing="1" w:after="100" w:afterAutospacing="1"/>
        <w:rPr>
          <w:sz w:val="22"/>
          <w:szCs w:val="22"/>
        </w:rPr>
      </w:pPr>
      <w:r w:rsidRPr="002D1AA0">
        <w:rPr>
          <w:sz w:val="22"/>
          <w:szCs w:val="22"/>
        </w:rPr>
        <w:t>Collaborazione con i comuni serviti in caso di emergenza neve</w:t>
      </w:r>
    </w:p>
    <w:p w:rsidR="00912BD1" w:rsidRPr="00301BF2" w:rsidRDefault="008B739D" w:rsidP="000E17F3">
      <w:pPr>
        <w:pStyle w:val="Corpodeltesto"/>
        <w:spacing w:before="120"/>
        <w:jc w:val="both"/>
        <w:rPr>
          <w:rFonts w:ascii="Times New Roman" w:hAnsi="Times New Roman" w:cs="Times New Roman"/>
        </w:rPr>
      </w:pPr>
      <w:r w:rsidRPr="00301BF2">
        <w:rPr>
          <w:rFonts w:ascii="Times New Roman" w:hAnsi="Times New Roman" w:cs="Times New Roman"/>
          <w:b/>
        </w:rPr>
        <w:t xml:space="preserve">E’ intenzione </w:t>
      </w:r>
      <w:r w:rsidR="005A6B99" w:rsidRPr="00301BF2">
        <w:rPr>
          <w:rFonts w:ascii="Times New Roman" w:hAnsi="Times New Roman" w:cs="Times New Roman"/>
          <w:b/>
        </w:rPr>
        <w:t xml:space="preserve">dell’amministrazione mantenere </w:t>
      </w:r>
      <w:r w:rsidRPr="00301BF2">
        <w:rPr>
          <w:rFonts w:ascii="Times New Roman" w:hAnsi="Times New Roman" w:cs="Times New Roman"/>
          <w:b/>
        </w:rPr>
        <w:t xml:space="preserve">la </w:t>
      </w:r>
      <w:r w:rsidR="00E20FEB" w:rsidRPr="00301BF2">
        <w:rPr>
          <w:rFonts w:ascii="Times New Roman" w:hAnsi="Times New Roman" w:cs="Times New Roman"/>
          <w:b/>
        </w:rPr>
        <w:t xml:space="preserve">quota di partecipazione in AER spa </w:t>
      </w:r>
      <w:r w:rsidR="000C2D21" w:rsidRPr="00301BF2">
        <w:rPr>
          <w:rFonts w:ascii="Times New Roman" w:hAnsi="Times New Roman" w:cs="Times New Roman"/>
          <w:b/>
        </w:rPr>
        <w:t>.</w:t>
      </w:r>
      <w:r w:rsidR="005A6B99" w:rsidRPr="00301BF2">
        <w:rPr>
          <w:rFonts w:ascii="Times New Roman" w:hAnsi="Times New Roman" w:cs="Times New Roman"/>
          <w:b/>
        </w:rPr>
        <w:t xml:space="preserve"> </w:t>
      </w:r>
    </w:p>
    <w:p w:rsidR="00602A03" w:rsidRPr="00301BF2" w:rsidRDefault="008A7FCB" w:rsidP="000E17F3">
      <w:pPr>
        <w:pStyle w:val="Corpodeltesto"/>
        <w:spacing w:before="120"/>
        <w:jc w:val="both"/>
        <w:rPr>
          <w:rFonts w:ascii="Times New Roman" w:hAnsi="Times New Roman" w:cs="Times New Roman"/>
          <w:b/>
        </w:rPr>
      </w:pPr>
      <w:r w:rsidRPr="00301BF2">
        <w:rPr>
          <w:rFonts w:ascii="Times New Roman" w:hAnsi="Times New Roman" w:cs="Times New Roman"/>
        </w:rPr>
        <w:t>L</w:t>
      </w:r>
      <w:r w:rsidR="00601408" w:rsidRPr="00301BF2">
        <w:rPr>
          <w:rFonts w:ascii="Times New Roman" w:hAnsi="Times New Roman" w:cs="Times New Roman"/>
        </w:rPr>
        <w:t>a quota di partecipazione societari</w:t>
      </w:r>
      <w:r w:rsidRPr="00301BF2">
        <w:rPr>
          <w:rFonts w:ascii="Times New Roman" w:hAnsi="Times New Roman" w:cs="Times New Roman"/>
        </w:rPr>
        <w:t>a non è</w:t>
      </w:r>
      <w:r w:rsidR="00601408" w:rsidRPr="00301BF2">
        <w:rPr>
          <w:rFonts w:ascii="Times New Roman" w:hAnsi="Times New Roman" w:cs="Times New Roman"/>
        </w:rPr>
        <w:t xml:space="preserve"> significativa, </w:t>
      </w:r>
      <w:r w:rsidRPr="00301BF2">
        <w:rPr>
          <w:rFonts w:ascii="Times New Roman" w:hAnsi="Times New Roman" w:cs="Times New Roman"/>
        </w:rPr>
        <w:t xml:space="preserve">ma </w:t>
      </w:r>
      <w:r w:rsidR="00C903E6" w:rsidRPr="00301BF2">
        <w:rPr>
          <w:rFonts w:ascii="Times New Roman" w:hAnsi="Times New Roman" w:cs="Times New Roman"/>
        </w:rPr>
        <w:t xml:space="preserve">è significativo </w:t>
      </w:r>
      <w:r w:rsidR="00F96EFC" w:rsidRPr="00301BF2">
        <w:rPr>
          <w:rFonts w:ascii="Times New Roman" w:hAnsi="Times New Roman" w:cs="Times New Roman"/>
        </w:rPr>
        <w:t>il corrispettivo che l’Amministrazione Comunale corrisponde per i servizi svolti da AER sul territorio del Comune di Reggello è che stato pari a € 3.261.407,65 IVA compresa per l’</w:t>
      </w:r>
      <w:r w:rsidR="00E20FEB" w:rsidRPr="00301BF2">
        <w:rPr>
          <w:rFonts w:ascii="Times New Roman" w:hAnsi="Times New Roman" w:cs="Times New Roman"/>
        </w:rPr>
        <w:t>anno 2014</w:t>
      </w:r>
      <w:r w:rsidR="002651A2" w:rsidRPr="00301BF2">
        <w:rPr>
          <w:rFonts w:ascii="Times New Roman" w:hAnsi="Times New Roman" w:cs="Times New Roman"/>
        </w:rPr>
        <w:t>. Il mantenimento della partecipazione nella predetta società trova inoltre la propria giustificazione sulla considerazione che in base alla vigente legislazione</w:t>
      </w:r>
      <w:r w:rsidR="00E20FEB" w:rsidRPr="00301BF2">
        <w:rPr>
          <w:rFonts w:ascii="Times New Roman" w:hAnsi="Times New Roman" w:cs="Times New Roman"/>
        </w:rPr>
        <w:t xml:space="preserve"> sono affidati all’ATO Toscana Centro (ente avente personalità giuridica di diritto pubblico e rappresentativo di tutti i Comuni compresi nelle province di Firenze, Prato e Pistoia, </w:t>
      </w:r>
      <w:r w:rsidR="00E20FEB" w:rsidRPr="00301BF2">
        <w:rPr>
          <w:rFonts w:ascii="Times New Roman" w:hAnsi="Times New Roman" w:cs="Times New Roman"/>
        </w:rPr>
        <w:br/>
        <w:t>costituito ai sensi della Legge Regionale Toscana 69/2011) ogni funzione in tema di programmazione, organizzazione e controllo sull’attività di gestione del servizio di gestione dei rifiuti urbani.</w:t>
      </w:r>
      <w:r w:rsidR="00E20FEB" w:rsidRPr="00301BF2">
        <w:rPr>
          <w:rFonts w:ascii="Times New Roman" w:hAnsi="Times New Roman" w:cs="Times New Roman"/>
        </w:rPr>
        <w:br/>
      </w:r>
      <w:r w:rsidR="00E20FEB" w:rsidRPr="00301BF2">
        <w:rPr>
          <w:rFonts w:ascii="Times New Roman" w:hAnsi="Times New Roman" w:cs="Times New Roman"/>
          <w:b/>
        </w:rPr>
        <w:t>compreso quello</w:t>
      </w:r>
      <w:r w:rsidR="0098270A" w:rsidRPr="00301BF2">
        <w:rPr>
          <w:rFonts w:ascii="Times New Roman" w:hAnsi="Times New Roman" w:cs="Times New Roman"/>
          <w:b/>
        </w:rPr>
        <w:t xml:space="preserve"> relativo all’affidamento del</w:t>
      </w:r>
      <w:r w:rsidR="00E20FEB" w:rsidRPr="00301BF2">
        <w:rPr>
          <w:rFonts w:ascii="Times New Roman" w:hAnsi="Times New Roman" w:cs="Times New Roman"/>
          <w:b/>
        </w:rPr>
        <w:t xml:space="preserve"> servizio ad un gestore unico</w:t>
      </w:r>
      <w:r w:rsidR="000C2D21" w:rsidRPr="00301BF2">
        <w:rPr>
          <w:rFonts w:ascii="Times New Roman" w:hAnsi="Times New Roman" w:cs="Times New Roman"/>
          <w:b/>
        </w:rPr>
        <w:t xml:space="preserve"> trattandosi di un servizio pubblico locale a rete</w:t>
      </w:r>
      <w:r w:rsidR="00D44514" w:rsidRPr="00301BF2">
        <w:rPr>
          <w:rFonts w:ascii="Times New Roman" w:hAnsi="Times New Roman" w:cs="Times New Roman"/>
          <w:b/>
        </w:rPr>
        <w:t xml:space="preserve"> le cui procedure sono in corso di espletamento</w:t>
      </w:r>
      <w:r w:rsidR="00E20FEB" w:rsidRPr="00301BF2">
        <w:rPr>
          <w:rFonts w:ascii="Times New Roman" w:hAnsi="Times New Roman" w:cs="Times New Roman"/>
          <w:b/>
        </w:rPr>
        <w:t>.</w:t>
      </w:r>
    </w:p>
    <w:p w:rsidR="00C903E6" w:rsidRPr="00301BF2" w:rsidRDefault="00602A03" w:rsidP="00602A03">
      <w:pPr>
        <w:pStyle w:val="Textbody"/>
        <w:spacing w:line="360" w:lineRule="auto"/>
        <w:jc w:val="both"/>
        <w:rPr>
          <w:rFonts w:ascii="Times New Roman" w:hAnsi="Times New Roman" w:cs="Times New Roman"/>
        </w:rPr>
      </w:pPr>
      <w:r w:rsidRPr="00301BF2">
        <w:rPr>
          <w:rFonts w:ascii="Times New Roman" w:hAnsi="Times New Roman"/>
          <w:b/>
          <w:u w:val="single"/>
        </w:rPr>
        <w:t>Si rimanda alla relazione tecnica la esplicazione puntuale delle motivazioni specifiche, di natura tecnico-finanziaria.</w:t>
      </w:r>
      <w:bookmarkStart w:id="2" w:name="_GoBack"/>
      <w:bookmarkEnd w:id="2"/>
    </w:p>
    <w:p w:rsidR="00C903E6" w:rsidRPr="00301BF2" w:rsidRDefault="00C903E6" w:rsidP="000E17F3">
      <w:pPr>
        <w:pStyle w:val="Corpodeltesto"/>
        <w:spacing w:before="120"/>
        <w:jc w:val="both"/>
        <w:rPr>
          <w:rFonts w:ascii="Times New Roman" w:hAnsi="Times New Roman" w:cs="Times New Roman"/>
        </w:rPr>
      </w:pPr>
    </w:p>
    <w:p w:rsidR="00D02DA0" w:rsidRPr="00301BF2" w:rsidRDefault="00D02DA0" w:rsidP="00D02DA0">
      <w:pPr>
        <w:keepNext/>
        <w:widowControl w:val="0"/>
        <w:shd w:val="clear" w:color="auto" w:fill="B8CCE4" w:themeFill="accent1" w:themeFillTint="66"/>
        <w:spacing w:line="280" w:lineRule="exact"/>
        <w:jc w:val="center"/>
        <w:outlineLvl w:val="1"/>
        <w:rPr>
          <w:b/>
          <w:sz w:val="22"/>
          <w:szCs w:val="22"/>
        </w:rPr>
      </w:pPr>
      <w:r w:rsidRPr="00301BF2">
        <w:rPr>
          <w:b/>
          <w:sz w:val="22"/>
          <w:szCs w:val="22"/>
        </w:rPr>
        <w:t>Società A.E.R. impianti srl</w:t>
      </w:r>
    </w:p>
    <w:p w:rsidR="00C903E6" w:rsidRDefault="00C903E6" w:rsidP="000E17F3">
      <w:pPr>
        <w:pStyle w:val="Corpodeltesto"/>
        <w:spacing w:before="120"/>
        <w:jc w:val="both"/>
        <w:rPr>
          <w:rFonts w:ascii="Times New Roman" w:hAnsi="Times New Roman" w:cs="Times New Roman"/>
        </w:rPr>
      </w:pPr>
    </w:p>
    <w:p w:rsidR="000E6E23" w:rsidRPr="00301BF2" w:rsidRDefault="000E6E23" w:rsidP="00301BF2">
      <w:pPr>
        <w:pStyle w:val="Textbody"/>
        <w:jc w:val="both"/>
        <w:rPr>
          <w:rFonts w:ascii="Times New Roman" w:hAnsi="Times New Roman"/>
        </w:rPr>
      </w:pPr>
      <w:r w:rsidRPr="00301BF2">
        <w:rPr>
          <w:rFonts w:ascii="Times New Roman" w:hAnsi="Times New Roman"/>
        </w:rPr>
        <w:t xml:space="preserve">La Società AER a responsabilità limitata è di proprietà del comune per il </w:t>
      </w:r>
      <w:r w:rsidR="007434D6" w:rsidRPr="00301BF2">
        <w:rPr>
          <w:rFonts w:ascii="Times New Roman" w:hAnsi="Times New Roman"/>
        </w:rPr>
        <w:t>7,75</w:t>
      </w:r>
      <w:r w:rsidRPr="00301BF2">
        <w:rPr>
          <w:rFonts w:ascii="Times New Roman" w:hAnsi="Times New Roman"/>
        </w:rPr>
        <w:t xml:space="preserve">%. Nella ripartizione del Commissario Cottarelli risulterebbe essere una società di scopo dei soci di AER Spa che svolge un servizio pubblico locale di rilevanza economica a rete e risulta inserita nel Piano di ambito provinciale dei rifiuti 2014, approvato dalla Autorità </w:t>
      </w:r>
      <w:proofErr w:type="spellStart"/>
      <w:r w:rsidRPr="00301BF2">
        <w:rPr>
          <w:rFonts w:ascii="Times New Roman" w:hAnsi="Times New Roman"/>
        </w:rPr>
        <w:t>Ato</w:t>
      </w:r>
      <w:proofErr w:type="spellEnd"/>
      <w:r w:rsidRPr="00301BF2">
        <w:rPr>
          <w:rFonts w:ascii="Times New Roman" w:hAnsi="Times New Roman"/>
        </w:rPr>
        <w:t xml:space="preserve"> Toscana Centro.</w:t>
      </w:r>
    </w:p>
    <w:p w:rsidR="000E6E23" w:rsidRPr="00301BF2" w:rsidRDefault="000E6E23" w:rsidP="00301BF2">
      <w:pPr>
        <w:pStyle w:val="Textbody"/>
        <w:jc w:val="both"/>
        <w:rPr>
          <w:rFonts w:ascii="Times New Roman" w:hAnsi="Times New Roman"/>
        </w:rPr>
      </w:pPr>
      <w:r w:rsidRPr="00301BF2">
        <w:rPr>
          <w:rFonts w:ascii="Times New Roman" w:hAnsi="Times New Roman"/>
        </w:rPr>
        <w:t xml:space="preserve">La Società venne costituita da AER Spa in data 25 marzo 2009, con atto al rogito notarile rep. 64927, conferendo alla medesima il ramo di azienda avente sede in Rufina, frazione Selvapiana, S.S. Tosco Romagnola Km 103+700, avente ad oggetto </w:t>
      </w:r>
      <w:r w:rsidRPr="00301BF2">
        <w:rPr>
          <w:rFonts w:ascii="Times New Roman" w:hAnsi="Times New Roman"/>
          <w:i/>
        </w:rPr>
        <w:t xml:space="preserve">“l’attività di stoccaggio provvisorio di rifiuti solidi, urbani ed assimilati in stazione di trasferimento e di materiale proveniente da raccolta differenziata di rifiuti solidi urbani, raccolta e trasporto di rifiuti solidi urbani e rifiuti speciali assimilati agli urbani, nonché </w:t>
      </w:r>
      <w:r w:rsidRPr="00301BF2">
        <w:rPr>
          <w:rFonts w:ascii="Times New Roman" w:hAnsi="Times New Roman"/>
          <w:i/>
        </w:rPr>
        <w:lastRenderedPageBreak/>
        <w:t>incenerimento di rifiuti solidi urbani e speciali assimilati”.</w:t>
      </w:r>
      <w:r w:rsidRPr="00301BF2">
        <w:rPr>
          <w:rFonts w:ascii="Times New Roman" w:hAnsi="Times New Roman"/>
        </w:rPr>
        <w:t xml:space="preserve"> Il Consiglio comunale con delibera nr. </w:t>
      </w:r>
      <w:r w:rsidR="00C33C81" w:rsidRPr="00301BF2">
        <w:rPr>
          <w:rFonts w:ascii="Times New Roman" w:hAnsi="Times New Roman"/>
        </w:rPr>
        <w:t>52</w:t>
      </w:r>
      <w:r w:rsidRPr="00301BF2">
        <w:rPr>
          <w:rFonts w:ascii="Times New Roman" w:hAnsi="Times New Roman"/>
        </w:rPr>
        <w:t xml:space="preserve">/2009 approvava lo statuto di AER Impianti Srl e approvava l’acquisto del </w:t>
      </w:r>
      <w:r w:rsidR="00C33C81" w:rsidRPr="00301BF2">
        <w:rPr>
          <w:rFonts w:ascii="Times New Roman" w:hAnsi="Times New Roman"/>
        </w:rPr>
        <w:t>0,3</w:t>
      </w:r>
      <w:r w:rsidRPr="00301BF2">
        <w:rPr>
          <w:rFonts w:ascii="Times New Roman" w:hAnsi="Times New Roman"/>
        </w:rPr>
        <w:t xml:space="preserve">7% del capitale sociale per un importo di €. </w:t>
      </w:r>
      <w:r w:rsidR="00C33C81" w:rsidRPr="00301BF2">
        <w:rPr>
          <w:rFonts w:ascii="Times New Roman" w:hAnsi="Times New Roman"/>
        </w:rPr>
        <w:t>74</w:t>
      </w:r>
      <w:r w:rsidRPr="00301BF2">
        <w:rPr>
          <w:rFonts w:ascii="Times New Roman" w:hAnsi="Times New Roman"/>
        </w:rPr>
        <w:t xml:space="preserve">; successivamente </w:t>
      </w:r>
      <w:r w:rsidR="007434D6" w:rsidRPr="00301BF2">
        <w:rPr>
          <w:rFonts w:ascii="Times New Roman" w:hAnsi="Times New Roman"/>
        </w:rPr>
        <w:t>c’è stata u</w:t>
      </w:r>
      <w:r w:rsidRPr="00301BF2">
        <w:rPr>
          <w:rFonts w:ascii="Times New Roman" w:hAnsi="Times New Roman"/>
        </w:rPr>
        <w:t xml:space="preserve">na cessione di quote al socio privato </w:t>
      </w:r>
      <w:proofErr w:type="spellStart"/>
      <w:r w:rsidRPr="00301BF2">
        <w:rPr>
          <w:rFonts w:ascii="Times New Roman" w:hAnsi="Times New Roman"/>
        </w:rPr>
        <w:t>Valdisieve</w:t>
      </w:r>
      <w:proofErr w:type="spellEnd"/>
      <w:r w:rsidRPr="00301BF2">
        <w:rPr>
          <w:rFonts w:ascii="Times New Roman" w:hAnsi="Times New Roman"/>
        </w:rPr>
        <w:t xml:space="preserve"> </w:t>
      </w:r>
      <w:proofErr w:type="spellStart"/>
      <w:r w:rsidRPr="00301BF2">
        <w:rPr>
          <w:rFonts w:ascii="Times New Roman" w:hAnsi="Times New Roman"/>
        </w:rPr>
        <w:t>S.c.r.l</w:t>
      </w:r>
      <w:proofErr w:type="spellEnd"/>
      <w:r w:rsidRPr="00301BF2">
        <w:rPr>
          <w:rFonts w:ascii="Times New Roman" w:hAnsi="Times New Roman"/>
        </w:rPr>
        <w:t xml:space="preserve"> ed un aumento di capitale </w:t>
      </w:r>
      <w:r w:rsidR="00C33C81" w:rsidRPr="00301BF2">
        <w:rPr>
          <w:rFonts w:ascii="Times New Roman" w:hAnsi="Times New Roman"/>
        </w:rPr>
        <w:t>sottoscritto dall’Amministrazione Comunale che ha dato alla compagine sociale l’attuale assetto</w:t>
      </w:r>
      <w:r w:rsidRPr="00301BF2">
        <w:rPr>
          <w:rFonts w:ascii="Times New Roman" w:hAnsi="Times New Roman"/>
        </w:rPr>
        <w:t>.</w:t>
      </w:r>
    </w:p>
    <w:p w:rsidR="000E6E23" w:rsidRPr="00301BF2" w:rsidRDefault="000E6E23" w:rsidP="00301BF2">
      <w:pPr>
        <w:pStyle w:val="Textbody"/>
        <w:jc w:val="both"/>
        <w:rPr>
          <w:rFonts w:ascii="Times New Roman" w:hAnsi="Times New Roman"/>
        </w:rPr>
      </w:pPr>
      <w:r w:rsidRPr="00301BF2">
        <w:rPr>
          <w:rFonts w:ascii="Times New Roman" w:hAnsi="Times New Roman"/>
        </w:rPr>
        <w:t>L’esistenza di due distinte società di natura e composizione analoghe ma ciascuna delle quali investita di compiti di servizio distinti e dati - da un lato - dalla gestione dei servizi connessi alla raccolta, spazzamento e trasporto e - dall’altro - dai compiti di realizzazione e gestione dell’impiantistica in dotazione, ha rappresentato una sicura razionalizzazione e migliore organizzazione della gestione dei servizi connessi al ciclo integrato dei rifiuti urbani.</w:t>
      </w:r>
    </w:p>
    <w:p w:rsidR="000E6E23" w:rsidRPr="00301BF2" w:rsidRDefault="000E6E23" w:rsidP="00301BF2">
      <w:pPr>
        <w:pStyle w:val="Textbody"/>
        <w:jc w:val="both"/>
        <w:rPr>
          <w:rFonts w:ascii="Times New Roman" w:hAnsi="Times New Roman"/>
        </w:rPr>
      </w:pPr>
      <w:r w:rsidRPr="00301BF2">
        <w:rPr>
          <w:rFonts w:ascii="Times New Roman" w:hAnsi="Times New Roman"/>
        </w:rPr>
        <w:t xml:space="preserve">Con delibera della Assemblea dei Soci del 27 giugno 2014 si è provveduto alla nomina di un </w:t>
      </w:r>
      <w:r w:rsidRPr="00301BF2">
        <w:rPr>
          <w:rFonts w:ascii="Times New Roman" w:hAnsi="Times New Roman"/>
          <w:b/>
          <w:bCs/>
        </w:rPr>
        <w:t>amministratore unico, senza corresponsione di compensi e con il solo rimborso spese.</w:t>
      </w:r>
    </w:p>
    <w:p w:rsidR="000E6E23" w:rsidRPr="00301BF2" w:rsidRDefault="000E6E23" w:rsidP="00301BF2">
      <w:pPr>
        <w:pStyle w:val="Textbody"/>
        <w:jc w:val="both"/>
        <w:rPr>
          <w:rFonts w:ascii="Times New Roman" w:hAnsi="Times New Roman"/>
        </w:rPr>
      </w:pPr>
      <w:r w:rsidRPr="00301BF2">
        <w:rPr>
          <w:rFonts w:ascii="Times New Roman" w:hAnsi="Times New Roman"/>
        </w:rPr>
        <w:t>Di seguito si riporta l’elenco dei soci alla data attuale:</w:t>
      </w:r>
    </w:p>
    <w:p w:rsidR="000E6E23" w:rsidRDefault="000E6E23" w:rsidP="000E6E23">
      <w:pPr>
        <w:pStyle w:val="Default"/>
        <w:spacing w:line="360" w:lineRule="auto"/>
        <w:rPr>
          <w:sz w:val="21"/>
          <w:szCs w:val="21"/>
        </w:rPr>
      </w:pPr>
    </w:p>
    <w:tbl>
      <w:tblPr>
        <w:tblW w:w="9270" w:type="dxa"/>
        <w:tblInd w:w="73" w:type="dxa"/>
        <w:tblLayout w:type="fixed"/>
        <w:tblCellMar>
          <w:left w:w="10" w:type="dxa"/>
          <w:right w:w="10" w:type="dxa"/>
        </w:tblCellMar>
        <w:tblLook w:val="0000"/>
      </w:tblPr>
      <w:tblGrid>
        <w:gridCol w:w="5160"/>
        <w:gridCol w:w="2280"/>
        <w:gridCol w:w="1830"/>
      </w:tblGrid>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b/>
                <w:i/>
                <w:sz w:val="22"/>
                <w:szCs w:val="22"/>
              </w:rPr>
            </w:pPr>
            <w:r w:rsidRPr="00301BF2">
              <w:rPr>
                <w:b/>
                <w:i/>
                <w:sz w:val="22"/>
                <w:szCs w:val="22"/>
              </w:rPr>
              <w:t>SOCIO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b/>
                <w:i/>
                <w:sz w:val="22"/>
                <w:szCs w:val="22"/>
              </w:rPr>
            </w:pPr>
            <w:r w:rsidRPr="00301BF2">
              <w:rPr>
                <w:b/>
                <w:i/>
                <w:sz w:val="22"/>
                <w:szCs w:val="22"/>
              </w:rPr>
              <w:t>N. QUOTE</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b/>
                <w:i/>
                <w:sz w:val="22"/>
                <w:szCs w:val="22"/>
              </w:rPr>
            </w:pPr>
            <w:r w:rsidRPr="00301BF2">
              <w:rPr>
                <w:b/>
                <w:i/>
                <w:sz w:val="22"/>
                <w:szCs w:val="22"/>
              </w:rPr>
              <w:t>%</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DICOMANO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49.818,70</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5,00</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LONDA</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11.467,89</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1,15</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PELAGO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122.342,18</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12,29</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PONTASSIEVE</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414.984,47</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41,65</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RUFINA</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119.746,65</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12,02</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SAN GODENZO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9.098,49</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0,91</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RIGNANO S.NO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41.633,61</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4,18</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FIGLINE E INCISA V.NO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30.099,77</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3,02</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COMUNE DI REGGELLO</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77.268,79</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7,75</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A.E.R. SPA</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20.100,01</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2,01</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VALDISIEVE S.C.R.L.</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99.813,44</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10,02</w:t>
            </w:r>
          </w:p>
        </w:tc>
      </w:tr>
      <w:tr w:rsidR="000E6E23" w:rsidRPr="00301BF2" w:rsidTr="00835BD4">
        <w:tc>
          <w:tcPr>
            <w:tcW w:w="51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both"/>
              <w:rPr>
                <w:sz w:val="22"/>
                <w:szCs w:val="22"/>
              </w:rPr>
            </w:pPr>
            <w:r w:rsidRPr="00301BF2">
              <w:rPr>
                <w:sz w:val="22"/>
                <w:szCs w:val="22"/>
              </w:rPr>
              <w:t>TOTALE</w:t>
            </w:r>
          </w:p>
        </w:tc>
        <w:tc>
          <w:tcPr>
            <w:tcW w:w="22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996.374,00</w:t>
            </w:r>
          </w:p>
        </w:tc>
        <w:tc>
          <w:tcPr>
            <w:tcW w:w="183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E6E23" w:rsidRPr="00301BF2" w:rsidRDefault="000E6E23" w:rsidP="000E6E23">
            <w:pPr>
              <w:pStyle w:val="Standard"/>
              <w:spacing w:line="360" w:lineRule="auto"/>
              <w:jc w:val="center"/>
              <w:rPr>
                <w:sz w:val="22"/>
                <w:szCs w:val="22"/>
              </w:rPr>
            </w:pPr>
            <w:r w:rsidRPr="00301BF2">
              <w:rPr>
                <w:sz w:val="22"/>
                <w:szCs w:val="22"/>
              </w:rPr>
              <w:t>100,00</w:t>
            </w:r>
          </w:p>
        </w:tc>
      </w:tr>
    </w:tbl>
    <w:p w:rsidR="000E6E23" w:rsidRDefault="000E6E23" w:rsidP="000E6E23">
      <w:pPr>
        <w:pStyle w:val="Textbody"/>
        <w:spacing w:line="360" w:lineRule="auto"/>
        <w:jc w:val="both"/>
        <w:rPr>
          <w:rFonts w:ascii="Times New Roman" w:hAnsi="Times New Roman"/>
          <w:sz w:val="21"/>
          <w:szCs w:val="21"/>
        </w:rPr>
      </w:pPr>
    </w:p>
    <w:p w:rsidR="000E6E23" w:rsidRPr="00301BF2" w:rsidRDefault="000E6E23" w:rsidP="000E6E23">
      <w:pPr>
        <w:pStyle w:val="Textbody"/>
        <w:spacing w:line="360" w:lineRule="auto"/>
        <w:jc w:val="both"/>
        <w:rPr>
          <w:rFonts w:ascii="Times New Roman" w:hAnsi="Times New Roman"/>
        </w:rPr>
      </w:pPr>
      <w:r w:rsidRPr="00301BF2">
        <w:rPr>
          <w:rFonts w:ascii="Times New Roman" w:hAnsi="Times New Roman"/>
        </w:rPr>
        <w:t xml:space="preserve">Pur trattandosi di una società che rientra nel campo di applicazione del comma 611 lettera b) della L.S. 2015 (che prevede </w:t>
      </w:r>
      <w:r w:rsidRPr="00301BF2">
        <w:rPr>
          <w:rFonts w:ascii="Times New Roman" w:hAnsi="Times New Roman"/>
          <w:b/>
        </w:rPr>
        <w:t>la soppressione  delle società che risultino composte da soli amministratori......)</w:t>
      </w:r>
      <w:r w:rsidRPr="00301BF2">
        <w:rPr>
          <w:rFonts w:ascii="Times New Roman" w:hAnsi="Times New Roman"/>
        </w:rPr>
        <w:t xml:space="preserve"> </w:t>
      </w:r>
      <w:r w:rsidRPr="00301BF2">
        <w:rPr>
          <w:rFonts w:ascii="Times New Roman" w:hAnsi="Times New Roman"/>
          <w:b/>
        </w:rPr>
        <w:t>è intenzione di questa Amministrazione,</w:t>
      </w:r>
      <w:r w:rsidRPr="00301BF2">
        <w:rPr>
          <w:rFonts w:ascii="Times New Roman" w:hAnsi="Times New Roman"/>
        </w:rPr>
        <w:t xml:space="preserve"> trattandosi di società avente </w:t>
      </w:r>
      <w:r w:rsidR="00BB70D4" w:rsidRPr="00301BF2">
        <w:rPr>
          <w:rFonts w:ascii="Times New Roman" w:hAnsi="Times New Roman"/>
        </w:rPr>
        <w:t xml:space="preserve">quale </w:t>
      </w:r>
      <w:r w:rsidRPr="00301BF2">
        <w:rPr>
          <w:rFonts w:ascii="Times New Roman" w:hAnsi="Times New Roman"/>
        </w:rPr>
        <w:t xml:space="preserve">oggetto sociale quello della realizzazione di impianti di termovalorizzazione e delle reti, eventualmente connesse, di teleriscaldamento,  di </w:t>
      </w:r>
      <w:r w:rsidRPr="00301BF2">
        <w:rPr>
          <w:rFonts w:ascii="Times New Roman" w:hAnsi="Times New Roman"/>
          <w:b/>
        </w:rPr>
        <w:t>mantenere” la proprietà delle azioni di AER Impianti Srl</w:t>
      </w:r>
      <w:r w:rsidRPr="00301BF2">
        <w:rPr>
          <w:rFonts w:ascii="Times New Roman" w:hAnsi="Times New Roman"/>
        </w:rPr>
        <w:t xml:space="preserve"> in qualità di società di scopo di società esercente un servizio pubblico di rilevanza economica a rete e quindi  inserita nel Piano di ambito, ex art. 27 L.R. Toscana n.25/98, approvato con delibera assembleare n.2 del 07/02/2014 della Autorità </w:t>
      </w:r>
      <w:proofErr w:type="spellStart"/>
      <w:r w:rsidRPr="00301BF2">
        <w:rPr>
          <w:rFonts w:ascii="Times New Roman" w:hAnsi="Times New Roman"/>
        </w:rPr>
        <w:t>Ato</w:t>
      </w:r>
      <w:proofErr w:type="spellEnd"/>
      <w:r w:rsidRPr="00301BF2">
        <w:rPr>
          <w:rFonts w:ascii="Times New Roman" w:hAnsi="Times New Roman"/>
        </w:rPr>
        <w:t xml:space="preserve"> Toscana Centro</w:t>
      </w:r>
      <w:r w:rsidRPr="00301BF2">
        <w:rPr>
          <w:rFonts w:ascii="Times New Roman" w:hAnsi="Times New Roman"/>
          <w:b/>
        </w:rPr>
        <w:t>.</w:t>
      </w:r>
    </w:p>
    <w:p w:rsidR="000E6E23" w:rsidRPr="00301BF2" w:rsidRDefault="000E6E23" w:rsidP="000E6E23">
      <w:pPr>
        <w:pStyle w:val="Textbody"/>
        <w:spacing w:line="360" w:lineRule="auto"/>
        <w:jc w:val="both"/>
        <w:rPr>
          <w:rFonts w:ascii="Times New Roman" w:hAnsi="Times New Roman"/>
        </w:rPr>
      </w:pPr>
      <w:r w:rsidRPr="00301BF2">
        <w:rPr>
          <w:rFonts w:ascii="Times New Roman" w:hAnsi="Times New Roman"/>
          <w:b/>
          <w:u w:val="single"/>
        </w:rPr>
        <w:t>Si rimanda alla relazione tecnica la esplicazione puntuale delle motivazioni specifiche, di natura tecnico-finanziaria, che giustificano il mantenimento della società  oltre che la definizione delle iniziative intraprese in materia di riduzione dei costi di funzionamento dai soci per il corrente anno.</w:t>
      </w:r>
    </w:p>
    <w:p w:rsidR="00D02DA0" w:rsidRPr="00301BF2" w:rsidRDefault="00D02DA0" w:rsidP="00D02DA0">
      <w:pPr>
        <w:keepNext/>
        <w:widowControl w:val="0"/>
        <w:shd w:val="clear" w:color="auto" w:fill="B8CCE4" w:themeFill="accent1" w:themeFillTint="66"/>
        <w:spacing w:line="280" w:lineRule="exact"/>
        <w:jc w:val="center"/>
        <w:outlineLvl w:val="1"/>
        <w:rPr>
          <w:b/>
          <w:sz w:val="22"/>
          <w:szCs w:val="22"/>
        </w:rPr>
      </w:pPr>
      <w:r w:rsidRPr="00301BF2">
        <w:rPr>
          <w:b/>
          <w:sz w:val="22"/>
          <w:szCs w:val="22"/>
        </w:rPr>
        <w:lastRenderedPageBreak/>
        <w:t xml:space="preserve">Società </w:t>
      </w:r>
      <w:r w:rsidR="00AB4527" w:rsidRPr="00301BF2">
        <w:rPr>
          <w:b/>
          <w:sz w:val="22"/>
          <w:szCs w:val="22"/>
        </w:rPr>
        <w:t>Casa spa</w:t>
      </w:r>
    </w:p>
    <w:p w:rsidR="007325BB" w:rsidRPr="00301BF2" w:rsidRDefault="007325BB" w:rsidP="00725E75">
      <w:pPr>
        <w:pStyle w:val="NormaleWeb"/>
        <w:jc w:val="both"/>
        <w:rPr>
          <w:sz w:val="22"/>
          <w:szCs w:val="22"/>
        </w:rPr>
      </w:pPr>
      <w:r w:rsidRPr="00301BF2">
        <w:rPr>
          <w:sz w:val="22"/>
          <w:szCs w:val="22"/>
        </w:rPr>
        <w:t xml:space="preserve">La società è costituita ai sensi della </w:t>
      </w:r>
      <w:hyperlink r:id="rId8" w:tgtFrame="*" w:history="1">
        <w:r w:rsidRPr="00301BF2">
          <w:rPr>
            <w:rStyle w:val="Collegamentoipertestuale"/>
            <w:sz w:val="22"/>
            <w:szCs w:val="22"/>
          </w:rPr>
          <w:t>L.R.T. n. 77/1998</w:t>
        </w:r>
      </w:hyperlink>
      <w:r w:rsidRPr="00301BF2">
        <w:rPr>
          <w:sz w:val="22"/>
          <w:szCs w:val="22"/>
        </w:rPr>
        <w:t xml:space="preserve"> al fine di esercitare in forma associata le funzioni di cui all'art. 5 comma primo di tale legge in virtù di contratto di servizio con la Conferenza d'ambito ottimale della Provincia di Firenze LODE e tutte le altre funzioni che LODE ovvero i singoli Comuni </w:t>
      </w:r>
      <w:r w:rsidR="00A82C74" w:rsidRPr="00301BF2">
        <w:rPr>
          <w:sz w:val="22"/>
          <w:szCs w:val="22"/>
        </w:rPr>
        <w:t>le hanno affidato</w:t>
      </w:r>
      <w:r w:rsidRPr="00301BF2">
        <w:rPr>
          <w:sz w:val="22"/>
          <w:szCs w:val="22"/>
        </w:rPr>
        <w:t xml:space="preserve"> </w:t>
      </w:r>
      <w:r w:rsidR="00A82C74" w:rsidRPr="00301BF2">
        <w:rPr>
          <w:sz w:val="22"/>
          <w:szCs w:val="22"/>
        </w:rPr>
        <w:t xml:space="preserve">mediante i </w:t>
      </w:r>
      <w:r w:rsidRPr="00301BF2">
        <w:rPr>
          <w:sz w:val="22"/>
          <w:szCs w:val="22"/>
        </w:rPr>
        <w:t>contratti di servizio.</w:t>
      </w:r>
    </w:p>
    <w:p w:rsidR="007325BB" w:rsidRPr="00301BF2" w:rsidRDefault="007325BB" w:rsidP="007325BB">
      <w:pPr>
        <w:pStyle w:val="NormaleWeb"/>
        <w:jc w:val="both"/>
        <w:rPr>
          <w:sz w:val="22"/>
          <w:szCs w:val="22"/>
        </w:rPr>
      </w:pPr>
      <w:r w:rsidRPr="00301BF2">
        <w:rPr>
          <w:sz w:val="22"/>
          <w:szCs w:val="22"/>
        </w:rPr>
        <w:t xml:space="preserve">CASA S.P.A. ha lo scopo di svolgere, secondo le direttive impartite da LODE e nel rispetto dei contratti di servizio, le seguenti </w:t>
      </w:r>
      <w:r w:rsidRPr="00301BF2">
        <w:rPr>
          <w:bCs/>
          <w:sz w:val="22"/>
          <w:szCs w:val="22"/>
        </w:rPr>
        <w:t>attività</w:t>
      </w:r>
      <w:r w:rsidRPr="00301BF2">
        <w:rPr>
          <w:sz w:val="22"/>
          <w:szCs w:val="22"/>
        </w:rPr>
        <w:t>:</w:t>
      </w:r>
    </w:p>
    <w:p w:rsidR="007325BB" w:rsidRPr="00301BF2" w:rsidRDefault="007325BB" w:rsidP="00A63152">
      <w:pPr>
        <w:pStyle w:val="NormaleWeb"/>
        <w:numPr>
          <w:ilvl w:val="0"/>
          <w:numId w:val="21"/>
        </w:numPr>
        <w:jc w:val="both"/>
        <w:rPr>
          <w:sz w:val="22"/>
          <w:szCs w:val="22"/>
        </w:rPr>
      </w:pPr>
      <w:r w:rsidRPr="00301BF2">
        <w:rPr>
          <w:sz w:val="22"/>
          <w:szCs w:val="22"/>
        </w:rPr>
        <w:t>funzioni attinenti al recupero, alla manutenzione e alla gestione amministrativa del patrimonio destinato all'ERP in proprietà dei Comuni e del patrimonio loro attribuito ai sensi dell'art. 3 comma primo (</w:t>
      </w:r>
      <w:hyperlink r:id="rId9" w:tgtFrame="*" w:history="1">
        <w:r w:rsidRPr="00301BF2">
          <w:rPr>
            <w:rStyle w:val="Collegamentoipertestuale"/>
            <w:sz w:val="22"/>
            <w:szCs w:val="22"/>
          </w:rPr>
          <w:t>L.R.T. n. 77/1998</w:t>
        </w:r>
      </w:hyperlink>
      <w:r w:rsidRPr="00301BF2">
        <w:rPr>
          <w:sz w:val="22"/>
          <w:szCs w:val="22"/>
        </w:rPr>
        <w:t xml:space="preserve">), </w:t>
      </w:r>
      <w:proofErr w:type="spellStart"/>
      <w:r w:rsidRPr="00301BF2">
        <w:rPr>
          <w:sz w:val="22"/>
          <w:szCs w:val="22"/>
        </w:rPr>
        <w:t>nonchè</w:t>
      </w:r>
      <w:proofErr w:type="spellEnd"/>
      <w:r w:rsidRPr="00301BF2">
        <w:rPr>
          <w:sz w:val="22"/>
          <w:szCs w:val="22"/>
        </w:rPr>
        <w:t xml:space="preserve"> quelle attinenti a nuove realizzazioni, secondo i contratti di servizio stipulati con la Conferenza d'ambito ottimale LODE e con i singoli Comuni che ne sono soci;</w:t>
      </w:r>
    </w:p>
    <w:p w:rsidR="007325BB" w:rsidRPr="00301BF2" w:rsidRDefault="007325BB" w:rsidP="00A63152">
      <w:pPr>
        <w:pStyle w:val="NormaleWeb"/>
        <w:numPr>
          <w:ilvl w:val="0"/>
          <w:numId w:val="21"/>
        </w:numPr>
        <w:jc w:val="both"/>
        <w:rPr>
          <w:sz w:val="22"/>
          <w:szCs w:val="22"/>
        </w:rPr>
      </w:pPr>
      <w:r w:rsidRPr="00301BF2">
        <w:rPr>
          <w:sz w:val="22"/>
          <w:szCs w:val="22"/>
        </w:rPr>
        <w:t xml:space="preserve">tutte o parte delle funzioni individuate all'art. 4 primo comma </w:t>
      </w:r>
      <w:r w:rsidRPr="00301BF2">
        <w:rPr>
          <w:color w:val="000000"/>
          <w:sz w:val="22"/>
          <w:szCs w:val="22"/>
        </w:rPr>
        <w:t>(</w:t>
      </w:r>
      <w:hyperlink r:id="rId10" w:tgtFrame="*" w:history="1">
        <w:r w:rsidRPr="00301BF2">
          <w:rPr>
            <w:rStyle w:val="Collegamentoipertestuale"/>
            <w:sz w:val="22"/>
            <w:szCs w:val="22"/>
          </w:rPr>
          <w:t>L.R.T. n. 77/1998</w:t>
        </w:r>
      </w:hyperlink>
      <w:r w:rsidRPr="00301BF2">
        <w:rPr>
          <w:color w:val="000000"/>
          <w:sz w:val="22"/>
          <w:szCs w:val="22"/>
        </w:rPr>
        <w:t>), secondo i contratti di servizio stipulati con la Conferenza LODE e con i singoli Comuni che ne sono soci;</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le procedure necessarie per l'acquisizione, la cessazione, la realizzazione, la gestione, comprese le attività di manutenzione ordinaria e straordinaria, del nuovo patrimonio edilizio, abitativo e non, proprio della Società ovvero dei Comuni associati e di altri soggetti, pubblici e privati, secondo appositi contratti di servizio o negozi di natura privatistica;</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gli interventi di recupero e di ristrutturazione urbanistica, agendo direttamente ovvero partecipando a società di trasformazione urbana ai sensi dell'</w:t>
      </w:r>
      <w:hyperlink r:id="rId11" w:tgtFrame="*" w:history="1">
        <w:r w:rsidRPr="00301BF2">
          <w:rPr>
            <w:rStyle w:val="Collegamentoipertestuale"/>
            <w:sz w:val="22"/>
            <w:szCs w:val="22"/>
          </w:rPr>
          <w:t>art. 120 T.U. n. 267/2000</w:t>
        </w:r>
      </w:hyperlink>
      <w:r w:rsidRPr="00301BF2">
        <w:rPr>
          <w:color w:val="000000"/>
          <w:sz w:val="22"/>
          <w:szCs w:val="22"/>
        </w:rPr>
        <w:t xml:space="preserve">, per l'attuazione di piani attuativi e di recupero, e di altri programmi di intervento edilizio comunque denominati, comprese le </w:t>
      </w:r>
      <w:proofErr w:type="spellStart"/>
      <w:r w:rsidRPr="00301BF2">
        <w:rPr>
          <w:color w:val="000000"/>
          <w:sz w:val="22"/>
          <w:szCs w:val="22"/>
        </w:rPr>
        <w:t>opre</w:t>
      </w:r>
      <w:proofErr w:type="spellEnd"/>
      <w:r w:rsidRPr="00301BF2">
        <w:rPr>
          <w:color w:val="000000"/>
          <w:sz w:val="22"/>
          <w:szCs w:val="22"/>
        </w:rPr>
        <w:t xml:space="preserve"> di urbanizzazione primaria e secondaria, in attuazione delle direttive di LODE ovvero dei singoli Comuni associati ovvero di altri soggetti pubblici e privati;</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progettazione, finanziamento, acquisizione, cessione, realizzazione, ristrutturazione, manutenzione e gestione immobili destinati ad edilizia residenziale e non, anche convenzionata, per conto della Conferenza LODE e dei Comuni associati, di atri soggetti pubblici e privati, di cooperative edilizie;</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progettazione, finanziamento, acquisizione, cessione, realizzazione, ristrutturazione, manutenzione e gestione di immobili, per conto proprio o di terzi soggetti pubblici e privati, destinati alla soddisfazione della domanda di edilizia convenzionata e di alloggi destinati al mercato delle locazioni a canone convenzionato o concordato, secondo la legislazione vigente;</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realizzazione di tutti gli interventi di manutenzione ordinaria e straordinaria e quant'altri siano necessari sul patrimonio proprio, su quello conferito in gestione ad altri soggetti e su quello realizzato o comunque acquisito direttamente o in favore di altri soggetti pubblici e privati;</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esecuzione delle direttive di LODE relative alla valorizzazione economica del patrimonio immobiliare abitativo e non abitativo dei Comuni soci, anche mediante la costituzione e/o la partecipazione, maggioritaria e/o minoritaria, a società di scopo, la costituzione di fondi immobiliari aperti e chiusi, ed ogni altra forma consentita dalle vigenti leggi;</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altri interventi ed attività di trasformazione urbana, in esecuzione delle direttive di LODE, compresa la progettazione, il finanziamento, la ricerca di risorse pubbliche e private e quant'altro necessario e strumentale, in favore dei Comuni associati od altri soggetti pubblici e privati, mediante la partecipazione ad altre società ai sensi e per gli effetti di cui all'</w:t>
      </w:r>
      <w:hyperlink r:id="rId12" w:tgtFrame="*" w:history="1">
        <w:r w:rsidRPr="00301BF2">
          <w:rPr>
            <w:rStyle w:val="Collegamentoipertestuale"/>
            <w:sz w:val="22"/>
            <w:szCs w:val="22"/>
          </w:rPr>
          <w:t>art. 120 del T.U. n. 267/2000</w:t>
        </w:r>
      </w:hyperlink>
      <w:r w:rsidRPr="00301BF2">
        <w:rPr>
          <w:color w:val="000000"/>
          <w:sz w:val="22"/>
          <w:szCs w:val="22"/>
        </w:rPr>
        <w:t xml:space="preserve"> ovvero a società di scopo;</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 xml:space="preserve">tutte le attività di servizio strumentali o connesse alla realizzazione dei compiti di cui alle precedenti lettere, quali, a titolo meramente esemplificativo e non esaustivo, raccolta, elaborazione e gestione di dati inerenti la domanda e l'offerta di immobili di edilizia residenziale e non sia per conto della Conferenza LODE che per conto dei Comuni Soci o per conto di terzi secondo appositi contratti di servizio o negozi di natura privatistica e nel rispetto della normativa </w:t>
      </w:r>
      <w:r w:rsidRPr="00301BF2">
        <w:rPr>
          <w:color w:val="000000"/>
          <w:sz w:val="22"/>
          <w:szCs w:val="22"/>
        </w:rPr>
        <w:lastRenderedPageBreak/>
        <w:t>in materia di riservatezza dei dati; la formazione del personale in relazione alle materie necessarie ed utili all'efficiente svolgimento delle attività sopra elencate; la fornitura di servizi agli utenti degli immobili secondo appositi contratti di servizio o negozi di natura privatistica;</w:t>
      </w:r>
    </w:p>
    <w:p w:rsidR="007325BB" w:rsidRPr="00301BF2" w:rsidRDefault="007325BB" w:rsidP="00A63152">
      <w:pPr>
        <w:pStyle w:val="NormaleWeb"/>
        <w:numPr>
          <w:ilvl w:val="0"/>
          <w:numId w:val="21"/>
        </w:numPr>
        <w:jc w:val="both"/>
        <w:rPr>
          <w:color w:val="000000"/>
          <w:sz w:val="22"/>
          <w:szCs w:val="22"/>
        </w:rPr>
      </w:pPr>
      <w:r w:rsidRPr="00301BF2">
        <w:rPr>
          <w:color w:val="000000"/>
          <w:sz w:val="22"/>
          <w:szCs w:val="22"/>
        </w:rPr>
        <w:t xml:space="preserve">assunzione e negoziazione di finanziamenti e concessione di garanzie di qualunque tipo nell'interesse dei comuni soci anche in attuazione del disposto del </w:t>
      </w:r>
      <w:hyperlink r:id="rId13" w:tgtFrame="*" w:history="1">
        <w:r w:rsidRPr="00301BF2">
          <w:rPr>
            <w:rStyle w:val="Collegamentoipertestuale"/>
            <w:sz w:val="22"/>
            <w:szCs w:val="22"/>
          </w:rPr>
          <w:t>punto 4.1 dell'Allegato 2 alla delibera n. 109/2002 della Regione Toscana</w:t>
        </w:r>
      </w:hyperlink>
      <w:r w:rsidRPr="00301BF2">
        <w:rPr>
          <w:color w:val="000000"/>
          <w:sz w:val="22"/>
          <w:szCs w:val="22"/>
        </w:rPr>
        <w:t>.</w:t>
      </w:r>
    </w:p>
    <w:p w:rsidR="005E701A" w:rsidRPr="00301BF2" w:rsidRDefault="00A63152" w:rsidP="00EF2568">
      <w:pPr>
        <w:pStyle w:val="Corpodeltesto"/>
        <w:spacing w:before="120"/>
        <w:jc w:val="both"/>
        <w:rPr>
          <w:rFonts w:ascii="Times New Roman" w:hAnsi="Times New Roman" w:cs="Times New Roman"/>
          <w:b/>
        </w:rPr>
      </w:pPr>
      <w:r w:rsidRPr="00301BF2">
        <w:rPr>
          <w:rFonts w:ascii="Times New Roman" w:hAnsi="Times New Roman" w:cs="Times New Roman"/>
          <w:b/>
        </w:rPr>
        <w:t xml:space="preserve">E’ </w:t>
      </w:r>
      <w:r w:rsidR="007B6C92" w:rsidRPr="00301BF2">
        <w:rPr>
          <w:rFonts w:ascii="Times New Roman" w:hAnsi="Times New Roman" w:cs="Times New Roman"/>
          <w:b/>
        </w:rPr>
        <w:t>obbligo per l</w:t>
      </w:r>
      <w:r w:rsidRPr="00301BF2">
        <w:rPr>
          <w:rFonts w:ascii="Times New Roman" w:hAnsi="Times New Roman" w:cs="Times New Roman"/>
          <w:b/>
        </w:rPr>
        <w:t xml:space="preserve">’amministrazione mantenere la quota di partecipazione in </w:t>
      </w:r>
      <w:r w:rsidR="00A82C74" w:rsidRPr="00301BF2">
        <w:rPr>
          <w:rFonts w:ascii="Times New Roman" w:hAnsi="Times New Roman" w:cs="Times New Roman"/>
          <w:b/>
        </w:rPr>
        <w:t>Casa spa</w:t>
      </w:r>
      <w:r w:rsidRPr="00301BF2">
        <w:rPr>
          <w:rFonts w:ascii="Times New Roman" w:hAnsi="Times New Roman" w:cs="Times New Roman"/>
          <w:b/>
        </w:rPr>
        <w:t xml:space="preserve"> </w:t>
      </w:r>
      <w:r w:rsidR="007B6C92" w:rsidRPr="00301BF2">
        <w:rPr>
          <w:rFonts w:ascii="Times New Roman" w:hAnsi="Times New Roman" w:cs="Times New Roman"/>
          <w:b/>
        </w:rPr>
        <w:t xml:space="preserve">in quanto trattasi </w:t>
      </w:r>
      <w:r w:rsidR="00AC5B50" w:rsidRPr="00301BF2">
        <w:rPr>
          <w:rFonts w:ascii="Times New Roman" w:hAnsi="Times New Roman" w:cs="Times New Roman"/>
          <w:b/>
        </w:rPr>
        <w:t>di società il cui capitale è totalmente detenuto da Pubbliche Amministrazioni trattandosi di una società che sviluppa attività strumentale di stretta necessità afferente alla gestione del patrimonio di edilizia residenziale pubblica.</w:t>
      </w:r>
    </w:p>
    <w:p w:rsidR="005E701A" w:rsidRPr="00301BF2" w:rsidRDefault="005E701A" w:rsidP="00A63152">
      <w:pPr>
        <w:pStyle w:val="Corpodeltesto"/>
        <w:spacing w:before="120"/>
        <w:ind w:left="720"/>
        <w:jc w:val="both"/>
        <w:rPr>
          <w:rFonts w:ascii="Times New Roman" w:hAnsi="Times New Roman" w:cs="Times New Roman"/>
          <w:b/>
        </w:rPr>
      </w:pPr>
    </w:p>
    <w:p w:rsidR="005E701A" w:rsidRPr="00301BF2" w:rsidRDefault="004433FB" w:rsidP="004433FB">
      <w:pPr>
        <w:keepNext/>
        <w:widowControl w:val="0"/>
        <w:shd w:val="clear" w:color="auto" w:fill="B8CCE4" w:themeFill="accent1" w:themeFillTint="66"/>
        <w:tabs>
          <w:tab w:val="left" w:pos="3105"/>
          <w:tab w:val="center" w:pos="4706"/>
        </w:tabs>
        <w:spacing w:line="280" w:lineRule="exact"/>
        <w:outlineLvl w:val="1"/>
        <w:rPr>
          <w:b/>
          <w:sz w:val="22"/>
          <w:szCs w:val="22"/>
        </w:rPr>
      </w:pPr>
      <w:r w:rsidRPr="00301BF2">
        <w:rPr>
          <w:b/>
          <w:sz w:val="22"/>
          <w:szCs w:val="22"/>
        </w:rPr>
        <w:tab/>
      </w:r>
      <w:r w:rsidRPr="00301BF2">
        <w:rPr>
          <w:b/>
          <w:sz w:val="22"/>
          <w:szCs w:val="22"/>
        </w:rPr>
        <w:tab/>
      </w:r>
      <w:r w:rsidR="00452D1C" w:rsidRPr="00301BF2">
        <w:rPr>
          <w:b/>
          <w:sz w:val="22"/>
          <w:szCs w:val="22"/>
        </w:rPr>
        <w:t xml:space="preserve">Società </w:t>
      </w:r>
      <w:proofErr w:type="spellStart"/>
      <w:r w:rsidR="00452D1C" w:rsidRPr="00301BF2">
        <w:rPr>
          <w:b/>
          <w:sz w:val="22"/>
          <w:szCs w:val="22"/>
        </w:rPr>
        <w:t>Farmavaldarno</w:t>
      </w:r>
      <w:proofErr w:type="spellEnd"/>
      <w:r w:rsidR="00452D1C" w:rsidRPr="00301BF2">
        <w:rPr>
          <w:b/>
          <w:sz w:val="22"/>
          <w:szCs w:val="22"/>
        </w:rPr>
        <w:t xml:space="preserve"> spa</w:t>
      </w:r>
    </w:p>
    <w:p w:rsidR="00452D1C" w:rsidRPr="00301BF2" w:rsidRDefault="00452D1C" w:rsidP="00452D1C">
      <w:pPr>
        <w:pStyle w:val="Corpodeltesto"/>
        <w:spacing w:before="120"/>
        <w:jc w:val="both"/>
        <w:rPr>
          <w:rFonts w:ascii="Times New Roman" w:hAnsi="Times New Roman" w:cs="Times New Roman"/>
        </w:rPr>
      </w:pPr>
      <w:r w:rsidRPr="00301BF2">
        <w:rPr>
          <w:rFonts w:ascii="Times New Roman" w:hAnsi="Times New Roman" w:cs="Times New Roman"/>
        </w:rPr>
        <w:t xml:space="preserve">La società </w:t>
      </w:r>
      <w:proofErr w:type="spellStart"/>
      <w:r w:rsidRPr="00301BF2">
        <w:rPr>
          <w:rFonts w:ascii="Times New Roman" w:hAnsi="Times New Roman" w:cs="Times New Roman"/>
        </w:rPr>
        <w:t>Società</w:t>
      </w:r>
      <w:proofErr w:type="spellEnd"/>
      <w:r w:rsidRPr="00301BF2">
        <w:rPr>
          <w:rFonts w:ascii="Times New Roman" w:hAnsi="Times New Roman" w:cs="Times New Roman"/>
        </w:rPr>
        <w:t xml:space="preserve"> </w:t>
      </w:r>
      <w:proofErr w:type="spellStart"/>
      <w:r w:rsidRPr="00301BF2">
        <w:rPr>
          <w:rFonts w:ascii="Times New Roman" w:hAnsi="Times New Roman" w:cs="Times New Roman"/>
        </w:rPr>
        <w:t>Farmavaldarno</w:t>
      </w:r>
      <w:proofErr w:type="spellEnd"/>
      <w:r w:rsidRPr="00301BF2">
        <w:rPr>
          <w:rFonts w:ascii="Times New Roman" w:hAnsi="Times New Roman" w:cs="Times New Roman"/>
        </w:rPr>
        <w:t xml:space="preserve"> Spa è di proprietà de</w:t>
      </w:r>
      <w:r w:rsidR="00394E60" w:rsidRPr="00301BF2">
        <w:rPr>
          <w:rFonts w:ascii="Times New Roman" w:hAnsi="Times New Roman" w:cs="Times New Roman"/>
        </w:rPr>
        <w:t xml:space="preserve">i Comuni di Figline e Incisa, Cavriglia e Reggello </w:t>
      </w:r>
      <w:r w:rsidR="009D6A83" w:rsidRPr="00301BF2">
        <w:rPr>
          <w:rFonts w:ascii="Times New Roman" w:hAnsi="Times New Roman" w:cs="Times New Roman"/>
        </w:rPr>
        <w:t>ed è stata costituita per la gestione delle farmacie comunali di Figline Incisa, Cavriglia e successivamente di Reggello.</w:t>
      </w:r>
    </w:p>
    <w:p w:rsidR="009D6A83" w:rsidRPr="00301BF2" w:rsidRDefault="009D6A83" w:rsidP="00452D1C">
      <w:pPr>
        <w:pStyle w:val="Corpodeltesto"/>
        <w:spacing w:before="120"/>
        <w:jc w:val="both"/>
        <w:rPr>
          <w:rFonts w:ascii="Times New Roman" w:hAnsi="Times New Roman" w:cs="Times New Roman"/>
          <w:b/>
        </w:rPr>
      </w:pPr>
      <w:r w:rsidRPr="00301BF2">
        <w:rPr>
          <w:rFonts w:ascii="Times New Roman" w:hAnsi="Times New Roman" w:cs="Times New Roman"/>
          <w:b/>
        </w:rPr>
        <w:t>La società è a totale capitale pubblico salvo le quote di obbligo</w:t>
      </w:r>
      <w:r w:rsidR="009C74EC" w:rsidRPr="00301BF2">
        <w:rPr>
          <w:rFonts w:ascii="Times New Roman" w:hAnsi="Times New Roman" w:cs="Times New Roman"/>
          <w:b/>
        </w:rPr>
        <w:t xml:space="preserve"> a favore dei farmacisti in servizio.</w:t>
      </w:r>
    </w:p>
    <w:p w:rsidR="00452D1C" w:rsidRPr="00301BF2" w:rsidRDefault="00452D1C" w:rsidP="00452D1C">
      <w:pPr>
        <w:pStyle w:val="Corpodeltesto"/>
        <w:spacing w:before="120"/>
        <w:jc w:val="both"/>
        <w:rPr>
          <w:rFonts w:ascii="Times New Roman" w:hAnsi="Times New Roman" w:cs="Times New Roman"/>
        </w:rPr>
      </w:pPr>
      <w:r w:rsidRPr="00301BF2">
        <w:rPr>
          <w:rFonts w:ascii="Times New Roman" w:hAnsi="Times New Roman" w:cs="Times New Roman"/>
        </w:rPr>
        <w:t xml:space="preserve">La Società è stata costituita </w:t>
      </w:r>
      <w:r w:rsidR="00394E60" w:rsidRPr="00301BF2">
        <w:rPr>
          <w:rFonts w:ascii="Times New Roman" w:hAnsi="Times New Roman" w:cs="Times New Roman"/>
        </w:rPr>
        <w:t xml:space="preserve">in data 23/12/2003 e ha </w:t>
      </w:r>
      <w:r w:rsidR="009D6A83" w:rsidRPr="00301BF2">
        <w:rPr>
          <w:rFonts w:ascii="Times New Roman" w:hAnsi="Times New Roman" w:cs="Times New Roman"/>
        </w:rPr>
        <w:t>sede legale in Figline Valdarno mentre l</w:t>
      </w:r>
      <w:r w:rsidR="00394E60" w:rsidRPr="00301BF2">
        <w:rPr>
          <w:rFonts w:ascii="Times New Roman" w:hAnsi="Times New Roman" w:cs="Times New Roman"/>
        </w:rPr>
        <w:t>’Ammi</w:t>
      </w:r>
      <w:r w:rsidR="009D6A83" w:rsidRPr="00301BF2">
        <w:rPr>
          <w:rFonts w:ascii="Times New Roman" w:hAnsi="Times New Roman" w:cs="Times New Roman"/>
        </w:rPr>
        <w:t>nistrazione Comunale è entrata</w:t>
      </w:r>
      <w:r w:rsidR="00953FEC" w:rsidRPr="00301BF2">
        <w:rPr>
          <w:rFonts w:ascii="Times New Roman" w:hAnsi="Times New Roman" w:cs="Times New Roman"/>
        </w:rPr>
        <w:t xml:space="preserve"> nella compagine sociale di </w:t>
      </w:r>
      <w:proofErr w:type="spellStart"/>
      <w:r w:rsidR="00953FEC" w:rsidRPr="00301BF2">
        <w:rPr>
          <w:rFonts w:ascii="Times New Roman" w:hAnsi="Times New Roman" w:cs="Times New Roman"/>
        </w:rPr>
        <w:t>Farmavaldarno</w:t>
      </w:r>
      <w:proofErr w:type="spellEnd"/>
      <w:r w:rsidR="00953FEC" w:rsidRPr="00301BF2">
        <w:rPr>
          <w:rFonts w:ascii="Times New Roman" w:hAnsi="Times New Roman" w:cs="Times New Roman"/>
        </w:rPr>
        <w:t xml:space="preserve"> con delibera consiliare n. 73 del 2005 </w:t>
      </w:r>
      <w:r w:rsidR="0065421C" w:rsidRPr="00301BF2">
        <w:rPr>
          <w:rFonts w:ascii="Times New Roman" w:hAnsi="Times New Roman" w:cs="Times New Roman"/>
        </w:rPr>
        <w:t xml:space="preserve">conferendo la nuova sede della farmacia comunale </w:t>
      </w:r>
      <w:r w:rsidR="00975388" w:rsidRPr="00301BF2">
        <w:rPr>
          <w:rFonts w:ascii="Times New Roman" w:hAnsi="Times New Roman" w:cs="Times New Roman"/>
        </w:rPr>
        <w:t xml:space="preserve">(in loc. Leccio) </w:t>
      </w:r>
      <w:r w:rsidR="00893669" w:rsidRPr="00301BF2">
        <w:rPr>
          <w:rFonts w:ascii="Times New Roman" w:hAnsi="Times New Roman" w:cs="Times New Roman"/>
        </w:rPr>
        <w:t>e acquistando n.100 azioni della Società stessa pari al 7,75% del capitale sociale.</w:t>
      </w:r>
    </w:p>
    <w:p w:rsidR="00897BB4" w:rsidRPr="00301BF2" w:rsidRDefault="00897BB4" w:rsidP="00452D1C">
      <w:pPr>
        <w:pStyle w:val="Corpodeltesto"/>
        <w:spacing w:before="120"/>
        <w:jc w:val="both"/>
        <w:rPr>
          <w:rFonts w:ascii="Times New Roman" w:hAnsi="Times New Roman" w:cs="Times New Roman"/>
        </w:rPr>
      </w:pPr>
      <w:r w:rsidRPr="00301BF2">
        <w:rPr>
          <w:rFonts w:ascii="Times New Roman" w:hAnsi="Times New Roman" w:cs="Times New Roman"/>
        </w:rPr>
        <w:t xml:space="preserve">Da sottolineare come dal 2007 al 2013, (data di entrata in effettivo esercizio della farmacia comunale), quest’ultima abbia prodotto </w:t>
      </w:r>
      <w:r w:rsidR="002621E9" w:rsidRPr="00301BF2">
        <w:rPr>
          <w:rFonts w:ascii="Times New Roman" w:hAnsi="Times New Roman" w:cs="Times New Roman"/>
        </w:rPr>
        <w:t>utili effettivi</w:t>
      </w:r>
      <w:r w:rsidRPr="00301BF2">
        <w:rPr>
          <w:rFonts w:ascii="Times New Roman" w:hAnsi="Times New Roman" w:cs="Times New Roman"/>
        </w:rPr>
        <w:t xml:space="preserve"> per il Comune di Reggello pari a 167.026,96 €</w:t>
      </w:r>
      <w:r w:rsidR="002621E9" w:rsidRPr="00301BF2">
        <w:rPr>
          <w:rFonts w:ascii="Times New Roman" w:hAnsi="Times New Roman" w:cs="Times New Roman"/>
        </w:rPr>
        <w:t xml:space="preserve"> complessivi</w:t>
      </w:r>
      <w:r w:rsidRPr="00301BF2">
        <w:rPr>
          <w:rFonts w:ascii="Times New Roman" w:hAnsi="Times New Roman" w:cs="Times New Roman"/>
        </w:rPr>
        <w:t>.</w:t>
      </w:r>
    </w:p>
    <w:p w:rsidR="00975388" w:rsidRPr="00301BF2" w:rsidRDefault="00975388" w:rsidP="00975388">
      <w:pPr>
        <w:pStyle w:val="Corpodeltesto"/>
        <w:spacing w:before="120"/>
        <w:jc w:val="both"/>
        <w:rPr>
          <w:rFonts w:ascii="Times New Roman" w:hAnsi="Times New Roman" w:cs="Times New Roman"/>
          <w:b/>
        </w:rPr>
      </w:pPr>
      <w:r w:rsidRPr="00301BF2">
        <w:rPr>
          <w:rFonts w:ascii="Times New Roman" w:hAnsi="Times New Roman" w:cs="Times New Roman"/>
          <w:b/>
        </w:rPr>
        <w:t xml:space="preserve">E’ intenzione dell’amministrazione mantenere la quota di partecipazione in </w:t>
      </w:r>
      <w:proofErr w:type="spellStart"/>
      <w:r w:rsidRPr="00301BF2">
        <w:rPr>
          <w:rFonts w:ascii="Times New Roman" w:hAnsi="Times New Roman" w:cs="Times New Roman"/>
          <w:b/>
        </w:rPr>
        <w:t>Farmavaldarno</w:t>
      </w:r>
      <w:proofErr w:type="spellEnd"/>
      <w:r w:rsidRPr="00301BF2">
        <w:rPr>
          <w:rFonts w:ascii="Times New Roman" w:hAnsi="Times New Roman" w:cs="Times New Roman"/>
          <w:b/>
        </w:rPr>
        <w:t xml:space="preserve"> </w:t>
      </w:r>
      <w:r w:rsidR="00B44C78" w:rsidRPr="00301BF2">
        <w:rPr>
          <w:rFonts w:ascii="Times New Roman" w:hAnsi="Times New Roman" w:cs="Times New Roman"/>
          <w:b/>
        </w:rPr>
        <w:t>sia in virtù del vincolo assunto con la stipula del contratto di servizio, sia in quanto tale società</w:t>
      </w:r>
      <w:r w:rsidR="00D31387" w:rsidRPr="00301BF2">
        <w:rPr>
          <w:rFonts w:ascii="Times New Roman" w:hAnsi="Times New Roman" w:cs="Times New Roman"/>
          <w:b/>
        </w:rPr>
        <w:t>, per le dimensioni</w:t>
      </w:r>
      <w:r w:rsidR="00E652E5" w:rsidRPr="00301BF2">
        <w:rPr>
          <w:rFonts w:ascii="Times New Roman" w:hAnsi="Times New Roman" w:cs="Times New Roman"/>
          <w:b/>
        </w:rPr>
        <w:t>,</w:t>
      </w:r>
      <w:r w:rsidR="00D31387" w:rsidRPr="00301BF2">
        <w:rPr>
          <w:rFonts w:ascii="Times New Roman" w:hAnsi="Times New Roman" w:cs="Times New Roman"/>
          <w:b/>
        </w:rPr>
        <w:t xml:space="preserve"> le economie di s</w:t>
      </w:r>
      <w:r w:rsidR="00E652E5" w:rsidRPr="00301BF2">
        <w:rPr>
          <w:rFonts w:ascii="Times New Roman" w:hAnsi="Times New Roman" w:cs="Times New Roman"/>
          <w:b/>
        </w:rPr>
        <w:t>cala che è possibile realizzare e gli utili che produce</w:t>
      </w:r>
      <w:r w:rsidR="00B44C78" w:rsidRPr="00301BF2">
        <w:rPr>
          <w:rFonts w:ascii="Times New Roman" w:hAnsi="Times New Roman" w:cs="Times New Roman"/>
          <w:b/>
        </w:rPr>
        <w:t xml:space="preserve"> è il veicolo più idoneo per la gestione della Farmacia comunale</w:t>
      </w:r>
      <w:r w:rsidR="00283B5B" w:rsidRPr="00301BF2">
        <w:rPr>
          <w:rFonts w:ascii="Times New Roman" w:hAnsi="Times New Roman" w:cs="Times New Roman"/>
          <w:b/>
        </w:rPr>
        <w:t xml:space="preserve"> di Reggello</w:t>
      </w:r>
      <w:r w:rsidR="00D31387" w:rsidRPr="00301BF2">
        <w:rPr>
          <w:rFonts w:ascii="Times New Roman" w:hAnsi="Times New Roman" w:cs="Times New Roman"/>
          <w:b/>
        </w:rPr>
        <w:t xml:space="preserve">. </w:t>
      </w:r>
      <w:r w:rsidR="00B44C78" w:rsidRPr="00301BF2">
        <w:rPr>
          <w:rFonts w:ascii="Times New Roman" w:hAnsi="Times New Roman" w:cs="Times New Roman"/>
          <w:b/>
        </w:rPr>
        <w:t xml:space="preserve">  </w:t>
      </w:r>
      <w:r w:rsidRPr="00301BF2">
        <w:rPr>
          <w:rFonts w:ascii="Times New Roman" w:hAnsi="Times New Roman" w:cs="Times New Roman"/>
          <w:b/>
        </w:rPr>
        <w:t xml:space="preserve">  </w:t>
      </w:r>
    </w:p>
    <w:p w:rsidR="00850E16" w:rsidRPr="00301BF2" w:rsidRDefault="00850E16" w:rsidP="00975388">
      <w:pPr>
        <w:pStyle w:val="Corpodeltesto"/>
        <w:spacing w:before="120"/>
        <w:jc w:val="both"/>
        <w:rPr>
          <w:rFonts w:ascii="Times New Roman" w:hAnsi="Times New Roman" w:cs="Times New Roman"/>
          <w:b/>
        </w:rPr>
      </w:pPr>
    </w:p>
    <w:p w:rsidR="004433FB" w:rsidRPr="0090474D" w:rsidRDefault="004A13BA" w:rsidP="004A13BA">
      <w:pPr>
        <w:keepNext/>
        <w:widowControl w:val="0"/>
        <w:shd w:val="clear" w:color="auto" w:fill="B8CCE4" w:themeFill="accent1" w:themeFillTint="66"/>
        <w:tabs>
          <w:tab w:val="left" w:pos="3105"/>
          <w:tab w:val="center" w:pos="4706"/>
        </w:tabs>
        <w:spacing w:line="280" w:lineRule="exact"/>
        <w:jc w:val="center"/>
        <w:outlineLvl w:val="1"/>
        <w:rPr>
          <w:b/>
          <w:sz w:val="22"/>
          <w:szCs w:val="22"/>
        </w:rPr>
      </w:pPr>
      <w:r>
        <w:rPr>
          <w:b/>
          <w:sz w:val="22"/>
          <w:szCs w:val="22"/>
        </w:rPr>
        <w:t xml:space="preserve">Società </w:t>
      </w:r>
      <w:proofErr w:type="spellStart"/>
      <w:r>
        <w:rPr>
          <w:b/>
          <w:sz w:val="22"/>
          <w:szCs w:val="22"/>
        </w:rPr>
        <w:t>Publiacqua</w:t>
      </w:r>
      <w:proofErr w:type="spellEnd"/>
      <w:r>
        <w:rPr>
          <w:b/>
          <w:sz w:val="22"/>
          <w:szCs w:val="22"/>
        </w:rPr>
        <w:t xml:space="preserve"> spa</w:t>
      </w:r>
    </w:p>
    <w:p w:rsidR="006662EB" w:rsidRDefault="006662EB" w:rsidP="006662EB">
      <w:pPr>
        <w:shd w:val="clear" w:color="auto" w:fill="FFFFFF"/>
        <w:spacing w:before="100" w:beforeAutospacing="1" w:after="100" w:afterAutospacing="1"/>
        <w:jc w:val="both"/>
        <w:rPr>
          <w:sz w:val="22"/>
          <w:szCs w:val="22"/>
        </w:rPr>
      </w:pPr>
      <w:proofErr w:type="spellStart"/>
      <w:r w:rsidRPr="00325DA2">
        <w:rPr>
          <w:sz w:val="22"/>
          <w:szCs w:val="22"/>
        </w:rPr>
        <w:t>Publiacqua</w:t>
      </w:r>
      <w:proofErr w:type="spellEnd"/>
      <w:r w:rsidRPr="00325DA2">
        <w:rPr>
          <w:sz w:val="22"/>
          <w:szCs w:val="22"/>
        </w:rPr>
        <w:t xml:space="preserve"> si occupa della captazione, del trattamento, del convogliamento e della distribuzione di acqua potabile. La nostra attività interessa sia acque di falda sia acque superficiali. L'azienda gestisce un sistema impiantistico complesso ed articolato</w:t>
      </w:r>
      <w:r>
        <w:rPr>
          <w:sz w:val="22"/>
          <w:szCs w:val="22"/>
        </w:rPr>
        <w:t xml:space="preserve">. </w:t>
      </w:r>
      <w:r w:rsidRPr="00325DA2">
        <w:rPr>
          <w:sz w:val="22"/>
          <w:szCs w:val="22"/>
        </w:rPr>
        <w:t xml:space="preserve">In tutto il territorio gestito, oltre alla distribuzione di acqua potabile, la società cura il collettamento delle acque reflue e la loro depurazione. La gestione integrata del sistema depurativo da parte di un solo soggetto, in un territorio così vasto, è prerequisito essenziale per il suo ammodernamento ed </w:t>
      </w:r>
      <w:proofErr w:type="spellStart"/>
      <w:r w:rsidRPr="00325DA2">
        <w:rPr>
          <w:sz w:val="22"/>
          <w:szCs w:val="22"/>
        </w:rPr>
        <w:t>efficientamento</w:t>
      </w:r>
      <w:proofErr w:type="spellEnd"/>
      <w:r w:rsidRPr="00325DA2">
        <w:rPr>
          <w:sz w:val="22"/>
          <w:szCs w:val="22"/>
        </w:rPr>
        <w:t xml:space="preserve"> anche al fine di  ridurre il livello di inquinamento delle acque fluviali della Regione</w:t>
      </w:r>
      <w:r>
        <w:rPr>
          <w:sz w:val="22"/>
          <w:szCs w:val="22"/>
        </w:rPr>
        <w:t>.</w:t>
      </w:r>
    </w:p>
    <w:p w:rsidR="00A814B8" w:rsidRPr="00A814B8" w:rsidRDefault="006662EB" w:rsidP="00A814B8">
      <w:pPr>
        <w:shd w:val="clear" w:color="auto" w:fill="FFFFFF"/>
        <w:spacing w:before="100" w:beforeAutospacing="1" w:after="100" w:afterAutospacing="1"/>
        <w:jc w:val="both"/>
        <w:rPr>
          <w:sz w:val="22"/>
          <w:szCs w:val="22"/>
        </w:rPr>
      </w:pPr>
      <w:proofErr w:type="spellStart"/>
      <w:r>
        <w:rPr>
          <w:sz w:val="22"/>
          <w:szCs w:val="22"/>
        </w:rPr>
        <w:t>P</w:t>
      </w:r>
      <w:r w:rsidR="00A814B8" w:rsidRPr="00A814B8">
        <w:rPr>
          <w:sz w:val="22"/>
          <w:szCs w:val="22"/>
        </w:rPr>
        <w:t>ubliacqua</w:t>
      </w:r>
      <w:proofErr w:type="spellEnd"/>
      <w:r w:rsidR="00A814B8" w:rsidRPr="00A814B8">
        <w:rPr>
          <w:sz w:val="22"/>
          <w:szCs w:val="22"/>
        </w:rPr>
        <w:t xml:space="preserve"> S.p.A. è la società affidataria, dal 1° gennaio 2002, della gestione del servizio idrico integrato dell'Ambito Territoriale Ottimale n. 3 Medio Valdarno</w:t>
      </w:r>
      <w:r w:rsidR="00B47368">
        <w:rPr>
          <w:sz w:val="22"/>
          <w:szCs w:val="22"/>
        </w:rPr>
        <w:t xml:space="preserve"> (adesso Autorità Idrica Toscana)</w:t>
      </w:r>
      <w:r w:rsidR="00A814B8" w:rsidRPr="00A814B8">
        <w:rPr>
          <w:sz w:val="22"/>
          <w:szCs w:val="22"/>
        </w:rPr>
        <w:t>, un territorio, asse portante della Toscana, che interessa 4 Province, Firenze, Prato, Pistoia e Arezzo. Nei 46 Comuni serviti abita un terzo della popolazione regionale (circa 1.277.000 abitanti) e sono localizzate le principali attività economiche della Toscana.</w:t>
      </w:r>
    </w:p>
    <w:p w:rsidR="00A814B8" w:rsidRDefault="00A814B8" w:rsidP="00A814B8">
      <w:pPr>
        <w:shd w:val="clear" w:color="auto" w:fill="FFFFFF"/>
        <w:spacing w:before="100" w:beforeAutospacing="1" w:after="100" w:afterAutospacing="1"/>
        <w:jc w:val="both"/>
        <w:rPr>
          <w:sz w:val="22"/>
          <w:szCs w:val="22"/>
        </w:rPr>
      </w:pPr>
      <w:proofErr w:type="spellStart"/>
      <w:r w:rsidRPr="00A814B8">
        <w:rPr>
          <w:sz w:val="22"/>
          <w:szCs w:val="22"/>
        </w:rPr>
        <w:t>Publiacqua</w:t>
      </w:r>
      <w:proofErr w:type="spellEnd"/>
      <w:r w:rsidRPr="00A814B8">
        <w:rPr>
          <w:sz w:val="22"/>
          <w:szCs w:val="22"/>
        </w:rPr>
        <w:t xml:space="preserve"> S.p.A. è stata costituita nel 2000 per iniziativa dei Comuni in cui la società esercita la propria attività. Nel 2006, a conclusione di una gara ad evidenza pubblica, è stato individuato un partner  privato,  Acque Blu Fiorentine S.p.A.  composto da una serie di aziende pubbliche e private fra le quali </w:t>
      </w:r>
      <w:r w:rsidRPr="00A814B8">
        <w:rPr>
          <w:i/>
          <w:iCs/>
          <w:sz w:val="22"/>
          <w:szCs w:val="22"/>
        </w:rPr>
        <w:t>Acea S.p.A.</w:t>
      </w:r>
      <w:r w:rsidRPr="00A814B8">
        <w:rPr>
          <w:sz w:val="22"/>
          <w:szCs w:val="22"/>
        </w:rPr>
        <w:t xml:space="preserve">, </w:t>
      </w:r>
      <w:r w:rsidRPr="00A814B8">
        <w:rPr>
          <w:i/>
          <w:iCs/>
          <w:sz w:val="22"/>
          <w:szCs w:val="22"/>
        </w:rPr>
        <w:t xml:space="preserve">Suez </w:t>
      </w:r>
      <w:proofErr w:type="spellStart"/>
      <w:r w:rsidRPr="00A814B8">
        <w:rPr>
          <w:i/>
          <w:iCs/>
          <w:sz w:val="22"/>
          <w:szCs w:val="22"/>
        </w:rPr>
        <w:t>Environnement</w:t>
      </w:r>
      <w:proofErr w:type="spellEnd"/>
      <w:r w:rsidRPr="00A814B8">
        <w:rPr>
          <w:i/>
          <w:iCs/>
          <w:sz w:val="22"/>
          <w:szCs w:val="22"/>
        </w:rPr>
        <w:t xml:space="preserve"> S.A.</w:t>
      </w:r>
      <w:r w:rsidRPr="00A814B8">
        <w:rPr>
          <w:sz w:val="22"/>
          <w:szCs w:val="22"/>
        </w:rPr>
        <w:t xml:space="preserve">, </w:t>
      </w:r>
      <w:r w:rsidRPr="00A814B8">
        <w:rPr>
          <w:i/>
          <w:iCs/>
          <w:sz w:val="22"/>
          <w:szCs w:val="22"/>
        </w:rPr>
        <w:t>MPS S.p.A</w:t>
      </w:r>
      <w:r w:rsidRPr="00A814B8">
        <w:rPr>
          <w:sz w:val="22"/>
          <w:szCs w:val="22"/>
        </w:rPr>
        <w:t>. che si è aggiudicato il  40% del capitale sociale.</w:t>
      </w:r>
    </w:p>
    <w:p w:rsidR="00C24DA8" w:rsidRDefault="00C24DA8" w:rsidP="00A814B8">
      <w:pPr>
        <w:shd w:val="clear" w:color="auto" w:fill="FFFFFF"/>
        <w:spacing w:before="100" w:beforeAutospacing="1" w:after="100" w:afterAutospacing="1"/>
        <w:jc w:val="both"/>
        <w:rPr>
          <w:sz w:val="22"/>
          <w:szCs w:val="22"/>
        </w:rPr>
      </w:pPr>
      <w:r>
        <w:rPr>
          <w:sz w:val="22"/>
          <w:szCs w:val="22"/>
        </w:rPr>
        <w:lastRenderedPageBreak/>
        <w:t xml:space="preserve">L’amministrazione comunale ha aderito alla soc. </w:t>
      </w:r>
      <w:proofErr w:type="spellStart"/>
      <w:r>
        <w:rPr>
          <w:sz w:val="22"/>
          <w:szCs w:val="22"/>
        </w:rPr>
        <w:t>Publiacqua</w:t>
      </w:r>
      <w:proofErr w:type="spellEnd"/>
      <w:r>
        <w:rPr>
          <w:sz w:val="22"/>
          <w:szCs w:val="22"/>
        </w:rPr>
        <w:t xml:space="preserve"> spa con deliberazione consiliare n. 121 del 2001</w:t>
      </w:r>
      <w:r w:rsidR="006662EB">
        <w:rPr>
          <w:sz w:val="22"/>
          <w:szCs w:val="22"/>
        </w:rPr>
        <w:t xml:space="preserve"> e, sulla scorta della convenzione stipulata tra l’Autorità Idrica Toscana e </w:t>
      </w:r>
      <w:proofErr w:type="spellStart"/>
      <w:r w:rsidR="006662EB">
        <w:rPr>
          <w:sz w:val="22"/>
          <w:szCs w:val="22"/>
        </w:rPr>
        <w:t>Publiacqua</w:t>
      </w:r>
      <w:proofErr w:type="spellEnd"/>
      <w:r w:rsidR="006662EB">
        <w:rPr>
          <w:sz w:val="22"/>
          <w:szCs w:val="22"/>
        </w:rPr>
        <w:t xml:space="preserve"> l’</w:t>
      </w:r>
      <w:r w:rsidR="00DC1367">
        <w:rPr>
          <w:sz w:val="22"/>
          <w:szCs w:val="22"/>
        </w:rPr>
        <w:t>affidamento del servizio alla predetta società scadrà il 31 dicembre del 2021.</w:t>
      </w:r>
    </w:p>
    <w:p w:rsidR="00DC1367" w:rsidRPr="00301BF2" w:rsidRDefault="00DC1367" w:rsidP="00DC1367">
      <w:pPr>
        <w:pStyle w:val="Corpodeltesto"/>
        <w:spacing w:before="120"/>
        <w:jc w:val="both"/>
        <w:rPr>
          <w:rFonts w:ascii="Times New Roman" w:hAnsi="Times New Roman" w:cs="Times New Roman"/>
          <w:b/>
        </w:rPr>
      </w:pPr>
      <w:r w:rsidRPr="00301BF2">
        <w:rPr>
          <w:rFonts w:ascii="Times New Roman" w:hAnsi="Times New Roman" w:cs="Times New Roman"/>
          <w:b/>
        </w:rPr>
        <w:t xml:space="preserve">E’ intenzione dell’amministrazione mantenere la quota di partecipazione in </w:t>
      </w:r>
      <w:proofErr w:type="spellStart"/>
      <w:r w:rsidR="003841DF" w:rsidRPr="00301BF2">
        <w:rPr>
          <w:rFonts w:ascii="Times New Roman" w:hAnsi="Times New Roman" w:cs="Times New Roman"/>
          <w:b/>
        </w:rPr>
        <w:t>Publiacqua</w:t>
      </w:r>
      <w:proofErr w:type="spellEnd"/>
      <w:r w:rsidR="003841DF" w:rsidRPr="00301BF2">
        <w:rPr>
          <w:rFonts w:ascii="Times New Roman" w:hAnsi="Times New Roman" w:cs="Times New Roman"/>
          <w:b/>
        </w:rPr>
        <w:t xml:space="preserve"> </w:t>
      </w:r>
      <w:r w:rsidRPr="00301BF2">
        <w:rPr>
          <w:rFonts w:ascii="Times New Roman" w:hAnsi="Times New Roman" w:cs="Times New Roman"/>
          <w:b/>
        </w:rPr>
        <w:t>in virtù del</w:t>
      </w:r>
      <w:r w:rsidR="003841DF" w:rsidRPr="00301BF2">
        <w:rPr>
          <w:rFonts w:ascii="Times New Roman" w:hAnsi="Times New Roman" w:cs="Times New Roman"/>
          <w:b/>
        </w:rPr>
        <w:t xml:space="preserve"> fatto che il soggetto competente per legislazione vigente ad assumere ogni decisione in merito all’affidamento della gestione del servizio idrico integrato è l’Autorità Idrica Toscana</w:t>
      </w:r>
      <w:r w:rsidR="002A7D76" w:rsidRPr="00301BF2">
        <w:rPr>
          <w:rFonts w:ascii="Times New Roman" w:hAnsi="Times New Roman" w:cs="Times New Roman"/>
          <w:b/>
        </w:rPr>
        <w:t xml:space="preserve"> trattandosi </w:t>
      </w:r>
      <w:r w:rsidR="00240825" w:rsidRPr="00301BF2">
        <w:rPr>
          <w:rFonts w:ascii="Times New Roman" w:hAnsi="Times New Roman" w:cs="Times New Roman"/>
          <w:b/>
        </w:rPr>
        <w:t>di servizio pubblico locale a rete</w:t>
      </w:r>
      <w:r w:rsidRPr="00301BF2">
        <w:rPr>
          <w:rFonts w:ascii="Times New Roman" w:hAnsi="Times New Roman" w:cs="Times New Roman"/>
          <w:b/>
        </w:rPr>
        <w:t xml:space="preserve">.     </w:t>
      </w:r>
    </w:p>
    <w:p w:rsidR="00DC1367" w:rsidRPr="00301BF2" w:rsidRDefault="00DC1367" w:rsidP="00DC1367">
      <w:pPr>
        <w:pStyle w:val="Corpodeltesto"/>
        <w:spacing w:before="120"/>
        <w:jc w:val="both"/>
        <w:rPr>
          <w:rFonts w:ascii="Times New Roman" w:hAnsi="Times New Roman" w:cs="Times New Roman"/>
          <w:b/>
        </w:rPr>
      </w:pPr>
    </w:p>
    <w:p w:rsidR="004433FB" w:rsidRPr="00301BF2" w:rsidRDefault="004433FB" w:rsidP="004433FB">
      <w:pPr>
        <w:keepNext/>
        <w:widowControl w:val="0"/>
        <w:shd w:val="clear" w:color="auto" w:fill="B8CCE4" w:themeFill="accent1" w:themeFillTint="66"/>
        <w:tabs>
          <w:tab w:val="left" w:pos="3105"/>
          <w:tab w:val="center" w:pos="4706"/>
        </w:tabs>
        <w:spacing w:line="280" w:lineRule="exact"/>
        <w:outlineLvl w:val="1"/>
        <w:rPr>
          <w:b/>
          <w:sz w:val="22"/>
          <w:szCs w:val="22"/>
        </w:rPr>
      </w:pPr>
      <w:r w:rsidRPr="00301BF2">
        <w:rPr>
          <w:b/>
          <w:sz w:val="22"/>
          <w:szCs w:val="22"/>
        </w:rPr>
        <w:tab/>
      </w:r>
      <w:r w:rsidR="00E5498E" w:rsidRPr="00301BF2">
        <w:rPr>
          <w:b/>
          <w:sz w:val="22"/>
          <w:szCs w:val="22"/>
        </w:rPr>
        <w:t>Società Toscana Energia spa</w:t>
      </w:r>
    </w:p>
    <w:p w:rsidR="004433FB" w:rsidRPr="00301BF2" w:rsidRDefault="004433FB" w:rsidP="00975388">
      <w:pPr>
        <w:pStyle w:val="Corpodeltesto"/>
        <w:spacing w:before="120"/>
        <w:jc w:val="both"/>
        <w:rPr>
          <w:rFonts w:ascii="Times New Roman" w:hAnsi="Times New Roman" w:cs="Times New Roman"/>
          <w:b/>
        </w:rPr>
      </w:pPr>
    </w:p>
    <w:p w:rsidR="00672464" w:rsidRPr="00301BF2" w:rsidRDefault="00E5498E" w:rsidP="00E5498E">
      <w:pPr>
        <w:jc w:val="both"/>
        <w:rPr>
          <w:sz w:val="22"/>
          <w:szCs w:val="22"/>
        </w:rPr>
      </w:pPr>
      <w:r w:rsidRPr="00301BF2">
        <w:rPr>
          <w:sz w:val="22"/>
          <w:szCs w:val="22"/>
        </w:rPr>
        <w:t xml:space="preserve">Toscana Energia, operativa dal 1° marzo 2007, è nata dalla fusione di </w:t>
      </w:r>
      <w:proofErr w:type="spellStart"/>
      <w:r w:rsidRPr="00301BF2">
        <w:rPr>
          <w:sz w:val="22"/>
          <w:szCs w:val="22"/>
        </w:rPr>
        <w:t>Fiorentinagas</w:t>
      </w:r>
      <w:proofErr w:type="spellEnd"/>
      <w:r w:rsidRPr="00301BF2">
        <w:rPr>
          <w:sz w:val="22"/>
          <w:szCs w:val="22"/>
        </w:rPr>
        <w:t xml:space="preserve"> e Toscana Gas. E’ l’azienda leader nel settore della distribuzione del gas naturale in Toscana, una grande realtà industriale che conta 91 Comuni soci e il partner industriale Italgas (Gruppo Snam</w:t>
      </w:r>
      <w:r w:rsidR="00672464" w:rsidRPr="00301BF2">
        <w:rPr>
          <w:sz w:val="22"/>
          <w:szCs w:val="22"/>
        </w:rPr>
        <w:t>).</w:t>
      </w:r>
    </w:p>
    <w:p w:rsidR="00E5498E" w:rsidRPr="00301BF2" w:rsidRDefault="00E5498E" w:rsidP="00E5498E">
      <w:pPr>
        <w:jc w:val="both"/>
        <w:rPr>
          <w:sz w:val="22"/>
          <w:szCs w:val="22"/>
        </w:rPr>
      </w:pPr>
      <w:r w:rsidRPr="00301BF2">
        <w:rPr>
          <w:sz w:val="22"/>
          <w:szCs w:val="22"/>
        </w:rPr>
        <w:t>Le principali attività sono:</w:t>
      </w:r>
    </w:p>
    <w:p w:rsidR="00E5498E" w:rsidRPr="00301BF2" w:rsidRDefault="00E5498E" w:rsidP="00E5498E">
      <w:pPr>
        <w:jc w:val="both"/>
        <w:rPr>
          <w:sz w:val="22"/>
          <w:szCs w:val="22"/>
        </w:rPr>
      </w:pPr>
      <w:r w:rsidRPr="00301BF2">
        <w:rPr>
          <w:sz w:val="22"/>
          <w:szCs w:val="22"/>
        </w:rPr>
        <w:t>distribuzione gas metano in regime di servizio pubblico</w:t>
      </w:r>
    </w:p>
    <w:p w:rsidR="00E5498E" w:rsidRPr="00301BF2" w:rsidRDefault="00E5498E" w:rsidP="00E5498E">
      <w:pPr>
        <w:jc w:val="both"/>
        <w:rPr>
          <w:sz w:val="22"/>
          <w:szCs w:val="22"/>
        </w:rPr>
      </w:pPr>
      <w:r w:rsidRPr="00301BF2">
        <w:rPr>
          <w:sz w:val="22"/>
          <w:szCs w:val="22"/>
        </w:rPr>
        <w:t>costruzione e gestione di infrastrutture di tubazioni interrate e fuori terra</w:t>
      </w:r>
    </w:p>
    <w:p w:rsidR="00E5498E" w:rsidRPr="00301BF2" w:rsidRDefault="00E5498E" w:rsidP="00E5498E">
      <w:pPr>
        <w:jc w:val="both"/>
        <w:rPr>
          <w:sz w:val="22"/>
          <w:szCs w:val="22"/>
        </w:rPr>
      </w:pPr>
      <w:r w:rsidRPr="00301BF2">
        <w:rPr>
          <w:sz w:val="22"/>
          <w:szCs w:val="22"/>
        </w:rPr>
        <w:t>gestione di rapporti con gli operatori di trasporto, a monte, ed i grossisti, a valle</w:t>
      </w:r>
    </w:p>
    <w:p w:rsidR="00E5498E" w:rsidRPr="00301BF2" w:rsidRDefault="00E5498E" w:rsidP="00E5498E">
      <w:pPr>
        <w:jc w:val="both"/>
        <w:rPr>
          <w:sz w:val="22"/>
          <w:szCs w:val="22"/>
        </w:rPr>
      </w:pPr>
      <w:r w:rsidRPr="00301BF2">
        <w:rPr>
          <w:sz w:val="22"/>
          <w:szCs w:val="22"/>
        </w:rPr>
        <w:t>distribuzione diretta a clienti con capacità autonoma di acquisto gas.</w:t>
      </w:r>
    </w:p>
    <w:p w:rsidR="0053211B" w:rsidRPr="00301BF2" w:rsidRDefault="0053211B" w:rsidP="00E5498E">
      <w:pPr>
        <w:jc w:val="both"/>
        <w:rPr>
          <w:sz w:val="22"/>
          <w:szCs w:val="22"/>
        </w:rPr>
      </w:pPr>
    </w:p>
    <w:p w:rsidR="004433FB" w:rsidRDefault="0053211B" w:rsidP="00975388">
      <w:pPr>
        <w:pStyle w:val="Corpodeltesto"/>
        <w:spacing w:before="120"/>
        <w:jc w:val="both"/>
        <w:rPr>
          <w:rFonts w:ascii="Times New Roman" w:hAnsi="Times New Roman" w:cs="Times New Roman"/>
        </w:rPr>
      </w:pPr>
      <w:r w:rsidRPr="00301BF2">
        <w:rPr>
          <w:rFonts w:ascii="Times New Roman" w:hAnsi="Times New Roman" w:cs="Times New Roman"/>
          <w:b/>
        </w:rPr>
        <w:t xml:space="preserve">E’ intenzione dell’amministrazione mantenere la quota di partecipazione in Toscana Energia spa in virtù del fatto che il soggetto competente per legislazione vigente ad assumere ogni decisione in merito all’affidamento della gestione del servizio </w:t>
      </w:r>
      <w:r w:rsidR="00FB70DD" w:rsidRPr="00301BF2">
        <w:rPr>
          <w:rFonts w:ascii="Times New Roman" w:hAnsi="Times New Roman" w:cs="Times New Roman"/>
          <w:b/>
        </w:rPr>
        <w:t xml:space="preserve">di produzione </w:t>
      </w:r>
      <w:r w:rsidR="005661D0" w:rsidRPr="00301BF2">
        <w:rPr>
          <w:rFonts w:ascii="Times New Roman" w:hAnsi="Times New Roman" w:cs="Times New Roman"/>
          <w:b/>
        </w:rPr>
        <w:t xml:space="preserve">e </w:t>
      </w:r>
      <w:r w:rsidR="00FB70DD" w:rsidRPr="00301BF2">
        <w:rPr>
          <w:rFonts w:ascii="Times New Roman" w:hAnsi="Times New Roman" w:cs="Times New Roman"/>
          <w:b/>
        </w:rPr>
        <w:t xml:space="preserve">distribuzione del gas </w:t>
      </w:r>
      <w:r w:rsidRPr="00301BF2">
        <w:rPr>
          <w:rFonts w:ascii="Times New Roman" w:hAnsi="Times New Roman" w:cs="Times New Roman"/>
          <w:b/>
        </w:rPr>
        <w:t>è</w:t>
      </w:r>
      <w:r w:rsidR="00FB70DD" w:rsidRPr="00301BF2">
        <w:rPr>
          <w:rFonts w:ascii="Times New Roman" w:hAnsi="Times New Roman" w:cs="Times New Roman"/>
          <w:b/>
        </w:rPr>
        <w:t xml:space="preserve"> riservato dalla legge agli ambiti</w:t>
      </w:r>
      <w:r w:rsidR="00DD0546" w:rsidRPr="00301BF2">
        <w:rPr>
          <w:rFonts w:ascii="Times New Roman" w:hAnsi="Times New Roman" w:cs="Times New Roman"/>
          <w:b/>
        </w:rPr>
        <w:t xml:space="preserve"> territoriali</w:t>
      </w:r>
      <w:r w:rsidR="00FB70DD" w:rsidRPr="00301BF2">
        <w:rPr>
          <w:rFonts w:ascii="Times New Roman" w:hAnsi="Times New Roman" w:cs="Times New Roman"/>
          <w:b/>
        </w:rPr>
        <w:t xml:space="preserve">, così come delineati dal </w:t>
      </w:r>
      <w:proofErr w:type="spellStart"/>
      <w:r w:rsidR="00FB70DD" w:rsidRPr="00301BF2">
        <w:rPr>
          <w:rFonts w:ascii="Times New Roman" w:hAnsi="Times New Roman" w:cs="Times New Roman"/>
          <w:b/>
        </w:rPr>
        <w:t>d.</w:t>
      </w:r>
      <w:r w:rsidR="00672464" w:rsidRPr="00301BF2">
        <w:rPr>
          <w:rFonts w:ascii="Times New Roman" w:hAnsi="Times New Roman" w:cs="Times New Roman"/>
          <w:b/>
        </w:rPr>
        <w:t>m.</w:t>
      </w:r>
      <w:proofErr w:type="spellEnd"/>
      <w:r w:rsidR="00672464" w:rsidRPr="00301BF2">
        <w:rPr>
          <w:rFonts w:ascii="Times New Roman" w:hAnsi="Times New Roman" w:cs="Times New Roman"/>
          <w:b/>
        </w:rPr>
        <w:t xml:space="preserve"> 226 del 2011 del Ministero dello Sviluppo Economico</w:t>
      </w:r>
      <w:r w:rsidR="005661D0" w:rsidRPr="00301BF2">
        <w:rPr>
          <w:rFonts w:ascii="Times New Roman" w:hAnsi="Times New Roman" w:cs="Times New Roman"/>
          <w:b/>
        </w:rPr>
        <w:t>,</w:t>
      </w:r>
      <w:r w:rsidR="00672464" w:rsidRPr="00301BF2">
        <w:rPr>
          <w:rFonts w:ascii="Times New Roman" w:hAnsi="Times New Roman" w:cs="Times New Roman"/>
          <w:b/>
        </w:rPr>
        <w:t xml:space="preserve"> come successivamente modificato </w:t>
      </w:r>
      <w:r w:rsidR="00DD0546" w:rsidRPr="00301BF2">
        <w:rPr>
          <w:rFonts w:ascii="Times New Roman" w:hAnsi="Times New Roman" w:cs="Times New Roman"/>
          <w:b/>
        </w:rPr>
        <w:t xml:space="preserve">dal 69/2013 e </w:t>
      </w:r>
      <w:proofErr w:type="spellStart"/>
      <w:r w:rsidR="00DD0546" w:rsidRPr="00301BF2">
        <w:rPr>
          <w:rFonts w:ascii="Times New Roman" w:hAnsi="Times New Roman" w:cs="Times New Roman"/>
          <w:b/>
        </w:rPr>
        <w:t>s.m.i.</w:t>
      </w:r>
      <w:proofErr w:type="spellEnd"/>
      <w:r w:rsidR="00260428" w:rsidRPr="00301BF2">
        <w:rPr>
          <w:rFonts w:ascii="Times New Roman" w:hAnsi="Times New Roman" w:cs="Times New Roman"/>
          <w:b/>
        </w:rPr>
        <w:t xml:space="preserve"> t</w:t>
      </w:r>
      <w:r w:rsidRPr="00301BF2">
        <w:rPr>
          <w:rFonts w:ascii="Times New Roman" w:hAnsi="Times New Roman" w:cs="Times New Roman"/>
          <w:b/>
        </w:rPr>
        <w:t xml:space="preserve">rattandosi di servizio pubblico locale a rete.  </w:t>
      </w:r>
      <w:r w:rsidR="00D0010C" w:rsidRPr="00301BF2">
        <w:rPr>
          <w:rFonts w:ascii="Times New Roman" w:hAnsi="Times New Roman" w:cs="Times New Roman"/>
          <w:b/>
        </w:rPr>
        <w:t xml:space="preserve">Inoltre, a seguito della riforma avviata dal Ministero dello Sviluppo Economico e l’Autorità per l’energia elettrica con </w:t>
      </w:r>
      <w:hyperlink r:id="rId14" w:tgtFrame="_blank" w:history="1">
        <w:r w:rsidR="00D0010C" w:rsidRPr="00301BF2">
          <w:rPr>
            <w:rStyle w:val="Collegamentoipertestuale"/>
            <w:rFonts w:ascii="Times New Roman" w:hAnsi="Times New Roman" w:cs="Times New Roman"/>
            <w:b/>
          </w:rPr>
          <w:t>l’articolo 14</w:t>
        </w:r>
      </w:hyperlink>
      <w:r w:rsidR="00D0010C" w:rsidRPr="00301BF2">
        <w:rPr>
          <w:rFonts w:ascii="Times New Roman" w:hAnsi="Times New Roman" w:cs="Times New Roman"/>
          <w:b/>
        </w:rPr>
        <w:t xml:space="preserve"> del Decreto Legislativo numero 164/2000, il cosiddetto “Decreto Letta” il servizio sarà assegnato mediante gara, non più da parte dei singoli Comuni ma sulla base di “Ambiti territoriali minimi” fissati per decreto ministeriale. Sarà il superamento dell’attuale frammentazione gestionale.</w:t>
      </w:r>
      <w:r w:rsidR="00D0010C" w:rsidRPr="00301BF2">
        <w:rPr>
          <w:rFonts w:ascii="Times New Roman" w:hAnsi="Times New Roman" w:cs="Times New Roman"/>
          <w:b/>
        </w:rPr>
        <w:br/>
        <w:t>Sono anche possibili aggregazioni di due o più ambiti: sono state emanate da parte dell’Autorità misure di incentivazione in tal senso. Il Comune di Reggello è a tal proposito inserito nell’ambito denominato “Firenze 2”  con previsione della emanazione del bando di gara entro dicembre 2016.</w:t>
      </w:r>
      <w:r w:rsidR="00D0010C">
        <w:rPr>
          <w:rFonts w:ascii="Times New Roman" w:hAnsi="Times New Roman" w:cs="Times New Roman"/>
          <w:b/>
        </w:rPr>
        <w:t xml:space="preserve"> </w:t>
      </w:r>
      <w:r w:rsidR="00D0010C" w:rsidRPr="00D0010C">
        <w:rPr>
          <w:rFonts w:ascii="Times New Roman" w:hAnsi="Times New Roman" w:cs="Times New Roman"/>
          <w:b/>
        </w:rPr>
        <w:br/>
      </w:r>
      <w:r w:rsidR="00D0010C" w:rsidRPr="00D0010C">
        <w:rPr>
          <w:rFonts w:ascii="Times New Roman" w:hAnsi="Times New Roman" w:cs="Times New Roman"/>
          <w:b/>
        </w:rPr>
        <w:br/>
      </w:r>
    </w:p>
    <w:p w:rsidR="004433FB" w:rsidRPr="0090474D" w:rsidRDefault="004433FB" w:rsidP="00307DBF">
      <w:pPr>
        <w:keepNext/>
        <w:widowControl w:val="0"/>
        <w:shd w:val="clear" w:color="auto" w:fill="B8CCE4" w:themeFill="accent1" w:themeFillTint="66"/>
        <w:tabs>
          <w:tab w:val="left" w:pos="3105"/>
          <w:tab w:val="center" w:pos="4706"/>
        </w:tabs>
        <w:spacing w:line="280" w:lineRule="exact"/>
        <w:jc w:val="center"/>
        <w:outlineLvl w:val="1"/>
        <w:rPr>
          <w:b/>
          <w:sz w:val="22"/>
          <w:szCs w:val="22"/>
        </w:rPr>
      </w:pPr>
      <w:r>
        <w:rPr>
          <w:b/>
          <w:sz w:val="22"/>
          <w:szCs w:val="22"/>
        </w:rPr>
        <w:t>Società OLCAS srl</w:t>
      </w:r>
    </w:p>
    <w:p w:rsidR="000812AA" w:rsidRDefault="000812AA" w:rsidP="000812AA">
      <w:pPr>
        <w:spacing w:line="288" w:lineRule="atLeast"/>
        <w:ind w:firstLine="567"/>
        <w:jc w:val="both"/>
        <w:rPr>
          <w:rFonts w:ascii="Arial" w:hAnsi="Arial"/>
          <w:sz w:val="22"/>
        </w:rPr>
      </w:pPr>
    </w:p>
    <w:p w:rsidR="000812AA" w:rsidRDefault="000812AA" w:rsidP="000812AA">
      <w:pPr>
        <w:spacing w:line="288" w:lineRule="atLeast"/>
        <w:jc w:val="both"/>
        <w:rPr>
          <w:sz w:val="22"/>
        </w:rPr>
      </w:pPr>
      <w:r w:rsidRPr="000812AA">
        <w:rPr>
          <w:sz w:val="22"/>
        </w:rPr>
        <w:t xml:space="preserve">Il Comune di Reggello ha aderito alla Società OLCAS srl con delibera consiliare n. 108 del 30/11/1998 mediante l’acquisto di n. 100 quote per un importo pari a 10.000.000 milioni di </w:t>
      </w:r>
      <w:r w:rsidR="00F04733">
        <w:rPr>
          <w:sz w:val="22"/>
        </w:rPr>
        <w:t xml:space="preserve">vecchie </w:t>
      </w:r>
      <w:r w:rsidRPr="000812AA">
        <w:rPr>
          <w:sz w:val="22"/>
        </w:rPr>
        <w:t>lire</w:t>
      </w:r>
      <w:r w:rsidR="0004463C">
        <w:rPr>
          <w:sz w:val="22"/>
        </w:rPr>
        <w:t xml:space="preserve"> corrispondenti all’1,59% del capitale sociale</w:t>
      </w:r>
      <w:r w:rsidRPr="000812AA">
        <w:rPr>
          <w:sz w:val="22"/>
        </w:rPr>
        <w:t>.</w:t>
      </w:r>
    </w:p>
    <w:p w:rsidR="00F2083D" w:rsidRDefault="000812AA" w:rsidP="00F2083D">
      <w:pPr>
        <w:spacing w:line="288" w:lineRule="atLeast"/>
        <w:jc w:val="both"/>
        <w:rPr>
          <w:sz w:val="22"/>
        </w:rPr>
      </w:pPr>
      <w:r>
        <w:rPr>
          <w:sz w:val="22"/>
        </w:rPr>
        <w:t xml:space="preserve">La </w:t>
      </w:r>
      <w:proofErr w:type="spellStart"/>
      <w:r w:rsidRPr="000812AA">
        <w:rPr>
          <w:i/>
          <w:sz w:val="22"/>
        </w:rPr>
        <w:t>mission</w:t>
      </w:r>
      <w:proofErr w:type="spellEnd"/>
      <w:r w:rsidRPr="000812AA">
        <w:rPr>
          <w:i/>
          <w:sz w:val="22"/>
        </w:rPr>
        <w:t xml:space="preserve"> </w:t>
      </w:r>
      <w:r>
        <w:rPr>
          <w:sz w:val="22"/>
        </w:rPr>
        <w:t>della predetta società</w:t>
      </w:r>
      <w:r w:rsidR="00F2083D">
        <w:rPr>
          <w:sz w:val="22"/>
        </w:rPr>
        <w:t xml:space="preserve"> consiste nel </w:t>
      </w:r>
      <w:r w:rsidR="00F2083D" w:rsidRPr="000812AA">
        <w:rPr>
          <w:sz w:val="22"/>
        </w:rPr>
        <w:t>favorire l’associazione tra piccole aziende agricole produttrici di olio per una più moderna politica di trasformazione e commercializzazione del prodotto olio</w:t>
      </w:r>
      <w:r w:rsidR="00F2083D">
        <w:rPr>
          <w:sz w:val="22"/>
        </w:rPr>
        <w:t xml:space="preserve"> mentre l’ingresso delle Amministrazioni Comunali della nostra zona (non solo Reggello pertanto) trovava giustificazione nel rilevante significato economico che l’olivicoltura aveva e ha in particolare per il territorio reggellese.</w:t>
      </w:r>
    </w:p>
    <w:p w:rsidR="0004463C" w:rsidRDefault="00F04733" w:rsidP="00F2083D">
      <w:pPr>
        <w:spacing w:line="288" w:lineRule="atLeast"/>
        <w:jc w:val="both"/>
        <w:rPr>
          <w:sz w:val="22"/>
        </w:rPr>
      </w:pPr>
      <w:r>
        <w:rPr>
          <w:sz w:val="22"/>
        </w:rPr>
        <w:t xml:space="preserve">Tuttavia, </w:t>
      </w:r>
      <w:r w:rsidR="0004463C">
        <w:rPr>
          <w:sz w:val="22"/>
        </w:rPr>
        <w:t>il mutato quadro normativo e le stringenti indicazioni contenute nella l. n.190 del 2014, inducono l’Amministrazione Comunale a dovere dismettere questa partecipazione.</w:t>
      </w:r>
    </w:p>
    <w:p w:rsidR="0004463C" w:rsidRDefault="0004463C" w:rsidP="0004463C">
      <w:pPr>
        <w:pStyle w:val="Corpodeltesto"/>
        <w:spacing w:before="120"/>
        <w:jc w:val="both"/>
        <w:rPr>
          <w:rFonts w:ascii="Times New Roman" w:hAnsi="Times New Roman" w:cs="Times New Roman"/>
          <w:b/>
        </w:rPr>
      </w:pPr>
      <w:r w:rsidRPr="0090474D">
        <w:rPr>
          <w:rFonts w:ascii="Times New Roman" w:hAnsi="Times New Roman" w:cs="Times New Roman"/>
          <w:b/>
        </w:rPr>
        <w:t xml:space="preserve">E’ intenzione dell’amministrazione </w:t>
      </w:r>
      <w:r>
        <w:rPr>
          <w:rFonts w:ascii="Times New Roman" w:hAnsi="Times New Roman" w:cs="Times New Roman"/>
          <w:b/>
        </w:rPr>
        <w:t>pertanto dismettere</w:t>
      </w:r>
      <w:r w:rsidRPr="0090474D">
        <w:rPr>
          <w:rFonts w:ascii="Times New Roman" w:hAnsi="Times New Roman" w:cs="Times New Roman"/>
          <w:b/>
        </w:rPr>
        <w:t xml:space="preserve"> la </w:t>
      </w:r>
      <w:r>
        <w:rPr>
          <w:rFonts w:ascii="Times New Roman" w:hAnsi="Times New Roman" w:cs="Times New Roman"/>
          <w:b/>
        </w:rPr>
        <w:t>quota di partecipazione in OLCAS  srl  ai sensi dell’art. 1 commi 611 e 612 della L. n. 190 del 2014 in quanto la società sviluppa attività di tipo commerciale e pertanto fuori dal perimetro di attività degli enti loca</w:t>
      </w:r>
      <w:r w:rsidR="008922A3">
        <w:rPr>
          <w:rFonts w:ascii="Times New Roman" w:hAnsi="Times New Roman" w:cs="Times New Roman"/>
          <w:b/>
        </w:rPr>
        <w:t>li, così come si è venuto a rideterminare</w:t>
      </w:r>
      <w:r w:rsidR="00FA1648">
        <w:rPr>
          <w:rFonts w:ascii="Times New Roman" w:hAnsi="Times New Roman" w:cs="Times New Roman"/>
          <w:b/>
        </w:rPr>
        <w:t xml:space="preserve"> alla luce delle sopracitate norme.</w:t>
      </w:r>
      <w:r>
        <w:rPr>
          <w:rFonts w:ascii="Times New Roman" w:hAnsi="Times New Roman" w:cs="Times New Roman"/>
          <w:b/>
        </w:rPr>
        <w:t xml:space="preserve">  </w:t>
      </w:r>
    </w:p>
    <w:p w:rsidR="00F04733" w:rsidRDefault="0004463C" w:rsidP="00F2083D">
      <w:pPr>
        <w:spacing w:line="288" w:lineRule="atLeast"/>
        <w:jc w:val="both"/>
        <w:rPr>
          <w:sz w:val="22"/>
        </w:rPr>
      </w:pPr>
      <w:r>
        <w:rPr>
          <w:sz w:val="22"/>
        </w:rPr>
        <w:lastRenderedPageBreak/>
        <w:t xml:space="preserve"> </w:t>
      </w:r>
    </w:p>
    <w:p w:rsidR="00301BF2" w:rsidRPr="000812AA" w:rsidRDefault="00301BF2" w:rsidP="00F2083D">
      <w:pPr>
        <w:spacing w:line="288" w:lineRule="atLeast"/>
        <w:jc w:val="both"/>
        <w:rPr>
          <w:sz w:val="22"/>
        </w:rPr>
      </w:pPr>
    </w:p>
    <w:p w:rsidR="00335BC8" w:rsidRPr="0090474D" w:rsidRDefault="00335BC8" w:rsidP="005A3ABE">
      <w:pPr>
        <w:keepNext/>
        <w:widowControl w:val="0"/>
        <w:shd w:val="clear" w:color="auto" w:fill="B8CCE4" w:themeFill="accent1" w:themeFillTint="66"/>
        <w:spacing w:line="280" w:lineRule="exact"/>
        <w:jc w:val="center"/>
        <w:outlineLvl w:val="1"/>
        <w:rPr>
          <w:b/>
          <w:sz w:val="22"/>
          <w:szCs w:val="22"/>
        </w:rPr>
      </w:pPr>
      <w:r w:rsidRPr="0090474D">
        <w:rPr>
          <w:b/>
          <w:sz w:val="22"/>
          <w:szCs w:val="22"/>
        </w:rPr>
        <w:t xml:space="preserve">4. </w:t>
      </w:r>
      <w:r w:rsidR="005A3ABE">
        <w:rPr>
          <w:b/>
          <w:sz w:val="22"/>
          <w:szCs w:val="22"/>
        </w:rPr>
        <w:t>Società già poste in liquidazione</w:t>
      </w:r>
    </w:p>
    <w:p w:rsidR="005A3ABE" w:rsidRPr="0090474D" w:rsidRDefault="005A3ABE" w:rsidP="005A3ABE">
      <w:pPr>
        <w:pStyle w:val="Corpodeltesto"/>
        <w:spacing w:before="120"/>
        <w:jc w:val="both"/>
        <w:rPr>
          <w:rFonts w:ascii="Times New Roman" w:hAnsi="Times New Roman" w:cs="Times New Roman"/>
        </w:rPr>
      </w:pPr>
      <w:r w:rsidRPr="0090474D">
        <w:rPr>
          <w:rFonts w:ascii="Times New Roman" w:hAnsi="Times New Roman" w:cs="Times New Roman"/>
        </w:rPr>
        <w:t>Società consortile Terre del Levante Fiorentino con una quota del 10% - già posta in liquidazione;</w:t>
      </w:r>
    </w:p>
    <w:p w:rsidR="005A3ABE" w:rsidRPr="0090474D" w:rsidRDefault="005A3ABE" w:rsidP="005A3ABE">
      <w:pPr>
        <w:pStyle w:val="Corpodeltesto"/>
        <w:spacing w:before="120"/>
        <w:jc w:val="both"/>
        <w:rPr>
          <w:rFonts w:ascii="Times New Roman" w:hAnsi="Times New Roman" w:cs="Times New Roman"/>
        </w:rPr>
      </w:pPr>
      <w:r w:rsidRPr="0090474D">
        <w:rPr>
          <w:rFonts w:ascii="Times New Roman" w:hAnsi="Times New Roman" w:cs="Times New Roman"/>
        </w:rPr>
        <w:t>Società Valdarno Sviluppo spa con una quota dell’1,42% - già posta in liquidazione.</w:t>
      </w:r>
    </w:p>
    <w:p w:rsidR="002D1AA0" w:rsidRDefault="002D1AA0" w:rsidP="000E17F3">
      <w:pPr>
        <w:pStyle w:val="Corpodeltesto"/>
        <w:spacing w:before="120"/>
        <w:jc w:val="both"/>
        <w:rPr>
          <w:rFonts w:ascii="Times New Roman" w:hAnsi="Times New Roman" w:cs="Times New Roman"/>
        </w:rPr>
      </w:pPr>
    </w:p>
    <w:p w:rsidR="002D1AA0" w:rsidRPr="002D1AA0" w:rsidRDefault="002D1AA0" w:rsidP="000E17F3">
      <w:pPr>
        <w:pStyle w:val="Corpodeltesto"/>
        <w:spacing w:before="120"/>
        <w:jc w:val="both"/>
        <w:rPr>
          <w:rFonts w:ascii="Times New Roman" w:hAnsi="Times New Roman" w:cs="Times New Roman"/>
          <w:sz w:val="16"/>
          <w:szCs w:val="16"/>
        </w:rPr>
      </w:pPr>
    </w:p>
    <w:sectPr w:rsidR="002D1AA0" w:rsidRPr="002D1AA0" w:rsidSect="00BD639D">
      <w:headerReference w:type="default" r:id="rId15"/>
      <w:footerReference w:type="default" r:id="rId16"/>
      <w:pgSz w:w="11906" w:h="16838" w:code="9"/>
      <w:pgMar w:top="1474" w:right="1247" w:bottom="1247"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79" w:rsidRDefault="00563779">
      <w:r>
        <w:separator/>
      </w:r>
    </w:p>
  </w:endnote>
  <w:endnote w:type="continuationSeparator" w:id="0">
    <w:p w:rsidR="00563779" w:rsidRDefault="005637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C2" w:rsidRPr="003C2446" w:rsidRDefault="00D069C2" w:rsidP="003C2446">
    <w:pPr>
      <w:pStyle w:val="Pidipagina"/>
      <w:ind w:right="360"/>
      <w:jc w:val="right"/>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79" w:rsidRDefault="00563779">
      <w:r>
        <w:separator/>
      </w:r>
    </w:p>
  </w:footnote>
  <w:footnote w:type="continuationSeparator" w:id="0">
    <w:p w:rsidR="00563779" w:rsidRDefault="00563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C2" w:rsidRDefault="00AE006C" w:rsidP="00820AB1">
    <w:pPr>
      <w:pStyle w:val="Intestazione"/>
      <w:jc w:val="center"/>
    </w:pPr>
    <w:r>
      <w:rPr>
        <w:noProof/>
      </w:rPr>
      <w:pict>
        <v:shapetype id="_x0000_t202" coordsize="21600,21600" o:spt="202" path="m,l,21600r21600,l21600,xe">
          <v:stroke joinstyle="miter"/>
          <v:path gradientshapeok="t" o:connecttype="rect"/>
        </v:shapetype>
        <v:shape id="Casella di testo 475" o:spid="_x0000_s30722" type="#_x0000_t202" style="position:absolute;left:0;text-align:left;margin-left:62.35pt;margin-top:32.2pt;width:470.6pt;height:8.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UuwIAAL0FAAAOAAAAZHJzL2Uyb0RvYy54bWysVNtunDAQfa/Uf7D8TriEZRcUNkpgqSql&#10;FyntB3jBLFaNTW3vsmnVf+/Y7C3JS9WWB2TP2GfmzBzPze2+52hHlWZS5Di8CjCiopYNE5scf/1S&#10;eQuMtCGiIVwKmuMnqvHt8u2bm3HIaCQ7yRuqEIAInY1Djjtjhsz3dd3RnugrOVABzlaqnhjYqo3f&#10;KDICes/9KAgSf5SqGZSsqdZgLScnXjr8tqW1+dS2mhrEcwy5GfdX7r+2f395Q7KNIkPH6kMa5C+y&#10;6AkTEPQEVRJD0FaxV1A9q5XUsjVXtex92baspo4DsAmDF2weOzJQxwWKo4dTmfT/g60/7j4rxJoc&#10;RxgJ0kOLCqIp5wQ1DBmqjUTxfGbrNA46g+OPA1ww+3u5h347znp4kPU3jYQsOiI29E4pOXaUNJBn&#10;aG/6F1cnHG1B1uMH2UBAsjXSAe1b1dsiQlkQoEO/nk49onuDajDO0nmSROCqwReG18G1a6JPsuPt&#10;QWnzjsoe2UWOFWjAoZPdgzY2G5Idj9hgQlaMc6cDLp4Z4OBkgdhw1fpsFq6tP9MgXS1Wi9iLo2Tl&#10;xUFZendVEXtJFc5n5XVZFGX4y8YN46xjTUOFDXOUWBj/WQsPYp/EcRKZlpw1Fs6mpNVmXXCFdgQk&#10;XrnP1Rw852P+8zRcEYDLC0phFAf3UepVyWLuxVU889J5sPCCML1PkyBO47J6TumBCfrvlNCY43QW&#10;zSYxnZN+wS1w32tuJOuZgSHCWZ/jxekQyawEV6JxrTWE8Wl9UQqb/rkU0O5jo51grUYntZr9eg8o&#10;VsVr2TyBdJUEZYEIYfLBopPqB0YjTJEc6+9boihG/L0A+adhHNux4zawUJfW9dFKRA0QOa6Nwmja&#10;FGYaUttBsU0HMY5P7Q4eS8Wcjs/5HJ4YzAhH5zDP7BC63LtT56m7/A0AAP//AwBQSwMEFAAGAAgA&#10;AAAhAHrZEpXeAAAACgEAAA8AAABkcnMvZG93bnJldi54bWxMj8FOwzAQRO9I/QdrK3GjNiGENMSp&#10;EKIHRC8t7d2NlyTCXkex0wa+HvdEj6N9mnlbriZr2AkH3zmScL8QwJBqpztqJOw/13c5MB8UaWUc&#10;oYQf9LCqZjelKrQ70xZPu9CwWEK+UBLaEPqCc1+3aJVfuB4p3r7cYFWIcWi4HtQ5llvDEyEyblVH&#10;caFVPb62WH/vRivhbRR7uwkP5N4/eJPTr+myw1rK2/n08gws4BT+YbjoR3WootPRjaQ9MzEn6VNE&#10;JWRpCuwCiOxxCewoIU8S4FXJr1+o/gAAAP//AwBQSwECLQAUAAYACAAAACEAtoM4kv4AAADhAQAA&#10;EwAAAAAAAAAAAAAAAAAAAAAAW0NvbnRlbnRfVHlwZXNdLnhtbFBLAQItABQABgAIAAAAIQA4/SH/&#10;1gAAAJQBAAALAAAAAAAAAAAAAAAAAC8BAABfcmVscy8ucmVsc1BLAQItABQABgAIAAAAIQC/RBwU&#10;uwIAAL0FAAAOAAAAAAAAAAAAAAAAAC4CAABkcnMvZTJvRG9jLnhtbFBLAQItABQABgAIAAAAIQB6&#10;2RKV3gAAAAoBAAAPAAAAAAAAAAAAAAAAABUFAABkcnMvZG93bnJldi54bWxQSwUGAAAAAAQABADz&#10;AAAAIAYAAAAA&#10;" o:allowincell="f" filled="f" stroked="f">
          <v:textbox style="mso-fit-shape-to-text:t" inset=",0,,0">
            <w:txbxContent>
              <w:p w:rsidR="00D069C2" w:rsidRPr="00820AB1" w:rsidRDefault="00BD639D" w:rsidP="00BD639D">
                <w:pPr>
                  <w:jc w:val="center"/>
                  <w:rPr>
                    <w:rFonts w:ascii="Bell MT" w:hAnsi="Bell MT" w:cs="Arial"/>
                    <w:sz w:val="16"/>
                    <w:szCs w:val="16"/>
                  </w:rPr>
                </w:pPr>
                <w:r>
                  <w:rPr>
                    <w:rFonts w:ascii="Bell MT" w:hAnsi="Bell MT" w:cs="Arial"/>
                    <w:sz w:val="16"/>
                    <w:szCs w:val="16"/>
                  </w:rPr>
                  <w:t>Piano di razionalizzazione delle società</w:t>
                </w:r>
              </w:p>
            </w:txbxContent>
          </v:textbox>
          <w10:wrap anchorx="page" anchory="page"/>
        </v:shape>
      </w:pict>
    </w:r>
    <w:r>
      <w:rPr>
        <w:noProof/>
      </w:rPr>
      <w:pict>
        <v:shape id="Casella di testo 476" o:spid="_x0000_s30721" type="#_x0000_t202" style="position:absolute;left:0;text-align:left;margin-left:779.55pt;margin-top:29.9pt;width:62.35pt;height:13.8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t1jQIAABkFAAAOAAAAZHJzL2Uyb0RvYy54bWysVNuO2yAQfa/Uf0C8Z21HzsXWOqtNUleV&#10;thdp2w8ggGNUDBRI7G3Vf++Ak2x6eaiq5sHhMhzOzDnD7d3QSXTk1gmtKpzdpBhxRTUTal/hTx/r&#10;yRIj54liRGrFK/zEHb5bvXxx25uST3WrJeMWAYhyZW8q3HpvyiRxtOUdcTfacAWbjbYd8TC1+4RZ&#10;0gN6J5Npms6TXltmrKbcOVjdjpt4FfGbhlP/vmkc90hWGLj5+LXxuwvfZHVLyr0lphX0RIP8A4uO&#10;CAWXXqC2xBN0sOI3qE5Qq51u/A3VXaKbRlAec4BssvSXbB5bYnjMBYrjzKVM7v/B0nfHDxYJBtph&#10;pEgHEm2I41ISxATy3HmN8sU81Kk3roTwRwMH/LDWQzgTcnbmQdPPDim9aYna83trdd9ywoBnFk4m&#10;V0dHHBdAdv1bzeBCcvA6Ag2N7QIglAUBOuj1dNGIDx5RWFwU2TKfYURhK1vMpvOoYULK82FjnX/N&#10;dYfCoMIWLBDByfHB+UCGlOeQSF5LwWohZZzY/W4jLToSsEteL7P1NvKHHK/DpArBSodjI+K4Ahzh&#10;jrAX2Eb5vxXZNE/X02JSz5eLSV7ns0mxSJeTNCvWxTzNi3xbfw8Es7xsBWNcPQjFz1bM8r+T+tQU&#10;o4miGVFf4WI2nY0KXbN310mm8fenJDvhoTOl6Cq8vASRMuj6SjFIm5SeCDmOk5/pxypDDc7/sSrR&#10;BUH40QJ+2A0n4wFYcMhOsyewhdUgG2gPrwoMWm2/YtRDh1bYfTkQyzGSbxRYq8jyPLR0nMDAXq/u&#10;zqtEUYCoMPUWo3Gy8eMDcDBW7Fu442zjezBiLaJJnvmc7Av9F7M5vRWhwa/nMer5RVv9AAAA//8D&#10;AFBLAwQUAAYACAAAACEABXkdl98AAAALAQAADwAAAGRycy9kb3ducmV2LnhtbEyPTU+DQBCG7yb9&#10;D5sx6c0utYIUWRqrUW8mLR48btkpkLKzhF1a/PdOT3qbN/Pk/cg3k+3EGQffOlKwXEQgkCpnWqoV&#10;fJVvdykIHzQZ3TlCBT/oYVPMbnKdGXehHZ73oRZsQj7TCpoQ+kxKXzVotV+4Hol/RzdYHVgOtTSD&#10;vrC57eR9FCXS6pY4odE9vjRYnfajVZB87N7jrUzLkb7Hbdl/Hv1rLZWa307PTyACTuEPhmt9rg4F&#10;dzq4kYwXHes4Xi+ZVRCvecOVSNIVXwcF6eMDyCKX/zcUvwAAAP//AwBQSwECLQAUAAYACAAAACEA&#10;toM4kv4AAADhAQAAEwAAAAAAAAAAAAAAAAAAAAAAW0NvbnRlbnRfVHlwZXNdLnhtbFBLAQItABQA&#10;BgAIAAAAIQA4/SH/1gAAAJQBAAALAAAAAAAAAAAAAAAAAC8BAABfcmVscy8ucmVsc1BLAQItABQA&#10;BgAIAAAAIQDxqbt1jQIAABkFAAAOAAAAAAAAAAAAAAAAAC4CAABkcnMvZTJvRG9jLnhtbFBLAQIt&#10;ABQABgAIAAAAIQAFeR2X3wAAAAsBAAAPAAAAAAAAAAAAAAAAAOcEAABkcnMvZG93bnJldi54bWxQ&#10;SwUGAAAAAAQABADzAAAA8wUAAAAA&#10;" o:allowincell="f" fillcolor="#4f81bd" stroked="f">
          <v:textbox style="mso-fit-shape-to-text:t" inset=",0,,0">
            <w:txbxContent>
              <w:p w:rsidR="00D069C2" w:rsidRPr="009E66FB" w:rsidRDefault="00AE006C">
                <w:pPr>
                  <w:rPr>
                    <w:rFonts w:ascii="Arial" w:hAnsi="Arial" w:cs="Arial"/>
                    <w:color w:val="FFFFFF"/>
                  </w:rPr>
                </w:pPr>
                <w:r w:rsidRPr="009E66FB">
                  <w:rPr>
                    <w:rFonts w:ascii="Arial" w:hAnsi="Arial" w:cs="Arial"/>
                  </w:rPr>
                  <w:fldChar w:fldCharType="begin"/>
                </w:r>
                <w:r w:rsidR="00D069C2" w:rsidRPr="009E66FB">
                  <w:rPr>
                    <w:rFonts w:ascii="Arial" w:hAnsi="Arial" w:cs="Arial"/>
                  </w:rPr>
                  <w:instrText>PAGE   \* MERGEFORMAT</w:instrText>
                </w:r>
                <w:r w:rsidRPr="009E66FB">
                  <w:rPr>
                    <w:rFonts w:ascii="Arial" w:hAnsi="Arial" w:cs="Arial"/>
                  </w:rPr>
                  <w:fldChar w:fldCharType="separate"/>
                </w:r>
                <w:r w:rsidR="00B0068C" w:rsidRPr="00B0068C">
                  <w:rPr>
                    <w:rFonts w:ascii="Arial" w:hAnsi="Arial" w:cs="Arial"/>
                    <w:noProof/>
                    <w:color w:val="FFFFFF"/>
                  </w:rPr>
                  <w:t>9</w:t>
                </w:r>
                <w:r w:rsidRPr="009E66FB">
                  <w:rPr>
                    <w:rFonts w:ascii="Arial" w:hAnsi="Arial" w:cs="Arial"/>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31C"/>
    <w:multiLevelType w:val="multilevel"/>
    <w:tmpl w:val="86725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977A0"/>
    <w:multiLevelType w:val="hybridMultilevel"/>
    <w:tmpl w:val="8B2C8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D5C4C65"/>
    <w:multiLevelType w:val="hybridMultilevel"/>
    <w:tmpl w:val="17C2CE26"/>
    <w:lvl w:ilvl="0" w:tplc="7698235A">
      <w:start w:val="1"/>
      <w:numFmt w:val="bullet"/>
      <w:lvlText w:val=""/>
      <w:lvlJc w:val="left"/>
      <w:pPr>
        <w:tabs>
          <w:tab w:val="num" w:pos="284"/>
        </w:tabs>
      </w:pPr>
      <w:rPr>
        <w:rFonts w:ascii="Symbol" w:hAnsi="Symbol" w:cs="Symbol"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DC063AD"/>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CC0D2D"/>
    <w:multiLevelType w:val="hybridMultilevel"/>
    <w:tmpl w:val="EE4A34BA"/>
    <w:lvl w:ilvl="0" w:tplc="37B801EA">
      <w:start w:val="1"/>
      <w:numFmt w:val="decimal"/>
      <w:lvlText w:val="%1."/>
      <w:lvlJc w:val="left"/>
      <w:pPr>
        <w:ind w:left="720" w:hanging="360"/>
      </w:pPr>
      <w:rPr>
        <w:rFonts w:ascii="Bell MT" w:hAnsi="Bell MT"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532954"/>
    <w:multiLevelType w:val="hybridMultilevel"/>
    <w:tmpl w:val="8B2C8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3531F8"/>
    <w:multiLevelType w:val="hybridMultilevel"/>
    <w:tmpl w:val="94EC8E30"/>
    <w:lvl w:ilvl="0" w:tplc="904E6E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6154B2"/>
    <w:multiLevelType w:val="multilevel"/>
    <w:tmpl w:val="CB82E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EA50E1B"/>
    <w:multiLevelType w:val="hybridMultilevel"/>
    <w:tmpl w:val="DF7C3B06"/>
    <w:lvl w:ilvl="0" w:tplc="69FED026">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400B33A6"/>
    <w:multiLevelType w:val="hybridMultilevel"/>
    <w:tmpl w:val="273208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6151F5"/>
    <w:multiLevelType w:val="hybridMultilevel"/>
    <w:tmpl w:val="E332A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AF0A27"/>
    <w:multiLevelType w:val="hybridMultilevel"/>
    <w:tmpl w:val="467A2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E254A4"/>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EE55D4"/>
    <w:multiLevelType w:val="multilevel"/>
    <w:tmpl w:val="EF4A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5F411E"/>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8C83A31"/>
    <w:multiLevelType w:val="multilevel"/>
    <w:tmpl w:val="41BAC82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9C333C4"/>
    <w:multiLevelType w:val="hybridMultilevel"/>
    <w:tmpl w:val="49B88274"/>
    <w:lvl w:ilvl="0" w:tplc="CAA81DF2">
      <w:start w:val="1"/>
      <w:numFmt w:val="bullet"/>
      <w:lvlText w:val=""/>
      <w:lvlJc w:val="left"/>
      <w:pPr>
        <w:tabs>
          <w:tab w:val="num" w:pos="170"/>
        </w:tabs>
        <w:ind w:left="0" w:firstLine="0"/>
      </w:pPr>
      <w:rPr>
        <w:rFonts w:ascii="Symbol" w:hAnsi="Symbol" w:hint="default"/>
        <w:sz w:val="16"/>
        <w:szCs w:val="16"/>
      </w:rPr>
    </w:lvl>
    <w:lvl w:ilvl="1" w:tplc="9612A6AC">
      <w:start w:val="1"/>
      <w:numFmt w:val="bullet"/>
      <w:lvlText w:val=""/>
      <w:lvlJc w:val="left"/>
      <w:pPr>
        <w:tabs>
          <w:tab w:val="num" w:pos="360"/>
        </w:tabs>
        <w:ind w:left="0" w:firstLine="0"/>
      </w:pPr>
      <w:rPr>
        <w:rFonts w:ascii="Symbol" w:hAnsi="Symbol" w:hint="default"/>
        <w:sz w:val="16"/>
      </w:rPr>
    </w:lvl>
    <w:lvl w:ilvl="2" w:tplc="469C5B14">
      <w:start w:val="1"/>
      <w:numFmt w:val="decimal"/>
      <w:lvlText w:val="%3."/>
      <w:lvlJc w:val="left"/>
      <w:pPr>
        <w:tabs>
          <w:tab w:val="num" w:pos="1080"/>
        </w:tabs>
        <w:ind w:left="720" w:firstLine="0"/>
      </w:pPr>
      <w:rPr>
        <w:rFonts w:ascii="Arial" w:hAnsi="Arial" w:hint="default"/>
        <w:b/>
        <w:i w:val="0"/>
        <w:sz w:val="16"/>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8">
    <w:nsid w:val="6CF83021"/>
    <w:multiLevelType w:val="multilevel"/>
    <w:tmpl w:val="4A70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E57FD1"/>
    <w:multiLevelType w:val="hybridMultilevel"/>
    <w:tmpl w:val="9898A7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B4A09F1"/>
    <w:multiLevelType w:val="hybridMultilevel"/>
    <w:tmpl w:val="8B2C82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9E0CE8"/>
    <w:multiLevelType w:val="hybridMultilevel"/>
    <w:tmpl w:val="800A8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2A00C4"/>
    <w:multiLevelType w:val="hybridMultilevel"/>
    <w:tmpl w:val="49C8CE20"/>
    <w:lvl w:ilvl="0" w:tplc="6708367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AE1B32"/>
    <w:multiLevelType w:val="hybridMultilevel"/>
    <w:tmpl w:val="1AE04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2"/>
  </w:num>
  <w:num w:numId="5">
    <w:abstractNumId w:val="11"/>
  </w:num>
  <w:num w:numId="6">
    <w:abstractNumId w:val="10"/>
  </w:num>
  <w:num w:numId="7">
    <w:abstractNumId w:val="16"/>
  </w:num>
  <w:num w:numId="8">
    <w:abstractNumId w:val="21"/>
  </w:num>
  <w:num w:numId="9">
    <w:abstractNumId w:val="23"/>
  </w:num>
  <w:num w:numId="10">
    <w:abstractNumId w:val="13"/>
  </w:num>
  <w:num w:numId="11">
    <w:abstractNumId w:val="19"/>
  </w:num>
  <w:num w:numId="12">
    <w:abstractNumId w:val="15"/>
  </w:num>
  <w:num w:numId="13">
    <w:abstractNumId w:val="17"/>
  </w:num>
  <w:num w:numId="14">
    <w:abstractNumId w:val="6"/>
  </w:num>
  <w:num w:numId="15">
    <w:abstractNumId w:val="9"/>
  </w:num>
  <w:num w:numId="16">
    <w:abstractNumId w:val="22"/>
  </w:num>
  <w:num w:numId="17">
    <w:abstractNumId w:val="7"/>
  </w:num>
  <w:num w:numId="18">
    <w:abstractNumId w:val="4"/>
  </w:num>
  <w:num w:numId="19">
    <w:abstractNumId w:val="1"/>
  </w:num>
  <w:num w:numId="20">
    <w:abstractNumId w:val="0"/>
  </w:num>
  <w:num w:numId="21">
    <w:abstractNumId w:val="8"/>
  </w:num>
  <w:num w:numId="22">
    <w:abstractNumId w:val="18"/>
  </w:num>
  <w:num w:numId="23">
    <w:abstractNumId w:val="14"/>
  </w:num>
  <w:num w:numId="24">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283"/>
  <w:doNotHyphenateCaps/>
  <w:drawingGridHorizontalSpacing w:val="120"/>
  <w:displayHorizontalDrawingGridEvery w:val="2"/>
  <w:noPunctuationKerning/>
  <w:characterSpacingControl w:val="doNotCompress"/>
  <w:doNotValidateAgainstSchema/>
  <w:doNotDemarcateInvalidXml/>
  <w:hdrShapeDefaults>
    <o:shapedefaults v:ext="edit" spidmax="33794"/>
    <o:shapelayout v:ext="edit">
      <o:idmap v:ext="edit" data="30"/>
    </o:shapelayout>
  </w:hdrShapeDefaults>
  <w:footnotePr>
    <w:footnote w:id="-1"/>
    <w:footnote w:id="0"/>
  </w:footnotePr>
  <w:endnotePr>
    <w:endnote w:id="-1"/>
    <w:endnote w:id="0"/>
  </w:endnotePr>
  <w:compat/>
  <w:rsids>
    <w:rsidRoot w:val="00D05EB5"/>
    <w:rsid w:val="00000121"/>
    <w:rsid w:val="000021BC"/>
    <w:rsid w:val="00005299"/>
    <w:rsid w:val="00006FD6"/>
    <w:rsid w:val="00015221"/>
    <w:rsid w:val="000177F5"/>
    <w:rsid w:val="000211B3"/>
    <w:rsid w:val="0002664A"/>
    <w:rsid w:val="00030DE7"/>
    <w:rsid w:val="00036C89"/>
    <w:rsid w:val="00041F10"/>
    <w:rsid w:val="0004463C"/>
    <w:rsid w:val="00044FF3"/>
    <w:rsid w:val="00056084"/>
    <w:rsid w:val="00056E51"/>
    <w:rsid w:val="000575A5"/>
    <w:rsid w:val="000600B5"/>
    <w:rsid w:val="000670A2"/>
    <w:rsid w:val="00072D6C"/>
    <w:rsid w:val="00077F1D"/>
    <w:rsid w:val="000812AA"/>
    <w:rsid w:val="000839D0"/>
    <w:rsid w:val="00091C37"/>
    <w:rsid w:val="00092B9B"/>
    <w:rsid w:val="00095328"/>
    <w:rsid w:val="000A5B57"/>
    <w:rsid w:val="000B0777"/>
    <w:rsid w:val="000B20F4"/>
    <w:rsid w:val="000B5841"/>
    <w:rsid w:val="000C1641"/>
    <w:rsid w:val="000C2D21"/>
    <w:rsid w:val="000D0EEB"/>
    <w:rsid w:val="000E17F3"/>
    <w:rsid w:val="000E2C74"/>
    <w:rsid w:val="000E4259"/>
    <w:rsid w:val="000E6E23"/>
    <w:rsid w:val="000F46F2"/>
    <w:rsid w:val="000F5732"/>
    <w:rsid w:val="000F679C"/>
    <w:rsid w:val="00104174"/>
    <w:rsid w:val="00106A73"/>
    <w:rsid w:val="001077D9"/>
    <w:rsid w:val="0011046C"/>
    <w:rsid w:val="00114D25"/>
    <w:rsid w:val="00115056"/>
    <w:rsid w:val="001177CC"/>
    <w:rsid w:val="00117FF2"/>
    <w:rsid w:val="00124A0E"/>
    <w:rsid w:val="001340A9"/>
    <w:rsid w:val="00135F23"/>
    <w:rsid w:val="001379FF"/>
    <w:rsid w:val="001400EC"/>
    <w:rsid w:val="00151E73"/>
    <w:rsid w:val="00164614"/>
    <w:rsid w:val="0016633B"/>
    <w:rsid w:val="001711E7"/>
    <w:rsid w:val="00171B1C"/>
    <w:rsid w:val="00182874"/>
    <w:rsid w:val="0019570C"/>
    <w:rsid w:val="00197D26"/>
    <w:rsid w:val="001A100C"/>
    <w:rsid w:val="001A2DAE"/>
    <w:rsid w:val="001B0486"/>
    <w:rsid w:val="001B415B"/>
    <w:rsid w:val="001B41CB"/>
    <w:rsid w:val="001B7D85"/>
    <w:rsid w:val="001C032A"/>
    <w:rsid w:val="001C04ED"/>
    <w:rsid w:val="001C3268"/>
    <w:rsid w:val="001C5A2F"/>
    <w:rsid w:val="001C7C33"/>
    <w:rsid w:val="001D548B"/>
    <w:rsid w:val="001E2DA1"/>
    <w:rsid w:val="001E5794"/>
    <w:rsid w:val="001E79BC"/>
    <w:rsid w:val="001F301A"/>
    <w:rsid w:val="001F4E37"/>
    <w:rsid w:val="001F6658"/>
    <w:rsid w:val="00201278"/>
    <w:rsid w:val="00203FBC"/>
    <w:rsid w:val="00205A84"/>
    <w:rsid w:val="0020704B"/>
    <w:rsid w:val="00207720"/>
    <w:rsid w:val="0021270C"/>
    <w:rsid w:val="0021435B"/>
    <w:rsid w:val="00215681"/>
    <w:rsid w:val="002176D1"/>
    <w:rsid w:val="002229A5"/>
    <w:rsid w:val="00222BFC"/>
    <w:rsid w:val="00240825"/>
    <w:rsid w:val="0024521E"/>
    <w:rsid w:val="00255D00"/>
    <w:rsid w:val="00260428"/>
    <w:rsid w:val="002604A1"/>
    <w:rsid w:val="002621E9"/>
    <w:rsid w:val="002629B4"/>
    <w:rsid w:val="002651A2"/>
    <w:rsid w:val="0026575F"/>
    <w:rsid w:val="00276E31"/>
    <w:rsid w:val="00283B5B"/>
    <w:rsid w:val="00285859"/>
    <w:rsid w:val="00286DAD"/>
    <w:rsid w:val="002871A1"/>
    <w:rsid w:val="00290489"/>
    <w:rsid w:val="00292EA4"/>
    <w:rsid w:val="0029365B"/>
    <w:rsid w:val="00294849"/>
    <w:rsid w:val="00294D25"/>
    <w:rsid w:val="002965B6"/>
    <w:rsid w:val="002A21B7"/>
    <w:rsid w:val="002A3B9D"/>
    <w:rsid w:val="002A6073"/>
    <w:rsid w:val="002A6087"/>
    <w:rsid w:val="002A7220"/>
    <w:rsid w:val="002A7D76"/>
    <w:rsid w:val="002B2119"/>
    <w:rsid w:val="002B2EE4"/>
    <w:rsid w:val="002B452E"/>
    <w:rsid w:val="002B5332"/>
    <w:rsid w:val="002B72E2"/>
    <w:rsid w:val="002C0680"/>
    <w:rsid w:val="002C2A24"/>
    <w:rsid w:val="002C5623"/>
    <w:rsid w:val="002D1AA0"/>
    <w:rsid w:val="002D5DC1"/>
    <w:rsid w:val="002E07FD"/>
    <w:rsid w:val="002E0CA7"/>
    <w:rsid w:val="002E1E4A"/>
    <w:rsid w:val="002E2092"/>
    <w:rsid w:val="002E60FF"/>
    <w:rsid w:val="002E7013"/>
    <w:rsid w:val="002F5CE0"/>
    <w:rsid w:val="002F7AEC"/>
    <w:rsid w:val="00300168"/>
    <w:rsid w:val="00301BF2"/>
    <w:rsid w:val="00304D1F"/>
    <w:rsid w:val="00306B62"/>
    <w:rsid w:val="00307DBF"/>
    <w:rsid w:val="0032467B"/>
    <w:rsid w:val="003248E6"/>
    <w:rsid w:val="00324C69"/>
    <w:rsid w:val="00325DA2"/>
    <w:rsid w:val="0032750E"/>
    <w:rsid w:val="00335BC8"/>
    <w:rsid w:val="00352EF5"/>
    <w:rsid w:val="003537E9"/>
    <w:rsid w:val="00355F32"/>
    <w:rsid w:val="0035641D"/>
    <w:rsid w:val="00363512"/>
    <w:rsid w:val="003647E3"/>
    <w:rsid w:val="00371735"/>
    <w:rsid w:val="00380893"/>
    <w:rsid w:val="00381CFB"/>
    <w:rsid w:val="00383DE4"/>
    <w:rsid w:val="003841DF"/>
    <w:rsid w:val="00386EDA"/>
    <w:rsid w:val="00390A73"/>
    <w:rsid w:val="0039364A"/>
    <w:rsid w:val="00394E60"/>
    <w:rsid w:val="003A7909"/>
    <w:rsid w:val="003B10AC"/>
    <w:rsid w:val="003B1C5B"/>
    <w:rsid w:val="003B3945"/>
    <w:rsid w:val="003C2446"/>
    <w:rsid w:val="003C426D"/>
    <w:rsid w:val="003C4B7A"/>
    <w:rsid w:val="003C6B1F"/>
    <w:rsid w:val="003C7291"/>
    <w:rsid w:val="003D1B53"/>
    <w:rsid w:val="003D2B3E"/>
    <w:rsid w:val="003E1861"/>
    <w:rsid w:val="003E3A8C"/>
    <w:rsid w:val="003E6F8E"/>
    <w:rsid w:val="003F1C1A"/>
    <w:rsid w:val="003F303E"/>
    <w:rsid w:val="003F3C99"/>
    <w:rsid w:val="003F4643"/>
    <w:rsid w:val="003F77F8"/>
    <w:rsid w:val="0040125D"/>
    <w:rsid w:val="00402753"/>
    <w:rsid w:val="00405395"/>
    <w:rsid w:val="00407397"/>
    <w:rsid w:val="0040784A"/>
    <w:rsid w:val="00415632"/>
    <w:rsid w:val="00426CA7"/>
    <w:rsid w:val="00430981"/>
    <w:rsid w:val="00430E8B"/>
    <w:rsid w:val="004357C2"/>
    <w:rsid w:val="004370A0"/>
    <w:rsid w:val="004404EF"/>
    <w:rsid w:val="004433FB"/>
    <w:rsid w:val="00444F3E"/>
    <w:rsid w:val="0044610A"/>
    <w:rsid w:val="004465AE"/>
    <w:rsid w:val="00447E98"/>
    <w:rsid w:val="00452D1C"/>
    <w:rsid w:val="00461AA1"/>
    <w:rsid w:val="0046484F"/>
    <w:rsid w:val="004737AD"/>
    <w:rsid w:val="00476B59"/>
    <w:rsid w:val="0047760E"/>
    <w:rsid w:val="00482448"/>
    <w:rsid w:val="004851B9"/>
    <w:rsid w:val="004853D8"/>
    <w:rsid w:val="004860C5"/>
    <w:rsid w:val="004919AA"/>
    <w:rsid w:val="00496EE9"/>
    <w:rsid w:val="004A13BA"/>
    <w:rsid w:val="004A7AD7"/>
    <w:rsid w:val="004B0544"/>
    <w:rsid w:val="004B1623"/>
    <w:rsid w:val="004B73F4"/>
    <w:rsid w:val="004C0EB2"/>
    <w:rsid w:val="004C2DCC"/>
    <w:rsid w:val="004C3806"/>
    <w:rsid w:val="004C5348"/>
    <w:rsid w:val="004C5D63"/>
    <w:rsid w:val="004D57DD"/>
    <w:rsid w:val="004D6F8C"/>
    <w:rsid w:val="004E01A0"/>
    <w:rsid w:val="004E16B8"/>
    <w:rsid w:val="004F3288"/>
    <w:rsid w:val="004F4043"/>
    <w:rsid w:val="004F4C93"/>
    <w:rsid w:val="004F57A7"/>
    <w:rsid w:val="00501902"/>
    <w:rsid w:val="0050653B"/>
    <w:rsid w:val="00517971"/>
    <w:rsid w:val="005214C0"/>
    <w:rsid w:val="00522466"/>
    <w:rsid w:val="00523783"/>
    <w:rsid w:val="0052683D"/>
    <w:rsid w:val="0053211B"/>
    <w:rsid w:val="00532689"/>
    <w:rsid w:val="0053481D"/>
    <w:rsid w:val="00534F96"/>
    <w:rsid w:val="00544D5F"/>
    <w:rsid w:val="005508D1"/>
    <w:rsid w:val="00550BEE"/>
    <w:rsid w:val="0055497A"/>
    <w:rsid w:val="005559A1"/>
    <w:rsid w:val="005576E9"/>
    <w:rsid w:val="00561132"/>
    <w:rsid w:val="00563779"/>
    <w:rsid w:val="00565AA6"/>
    <w:rsid w:val="005661D0"/>
    <w:rsid w:val="0058171D"/>
    <w:rsid w:val="00582087"/>
    <w:rsid w:val="005832A4"/>
    <w:rsid w:val="005879F0"/>
    <w:rsid w:val="00587E16"/>
    <w:rsid w:val="00593354"/>
    <w:rsid w:val="005A3103"/>
    <w:rsid w:val="005A3ABE"/>
    <w:rsid w:val="005A5289"/>
    <w:rsid w:val="005A6B99"/>
    <w:rsid w:val="005B4214"/>
    <w:rsid w:val="005C36B2"/>
    <w:rsid w:val="005C659D"/>
    <w:rsid w:val="005D00BA"/>
    <w:rsid w:val="005D5371"/>
    <w:rsid w:val="005E1778"/>
    <w:rsid w:val="005E4682"/>
    <w:rsid w:val="005E701A"/>
    <w:rsid w:val="005F014B"/>
    <w:rsid w:val="005F09E4"/>
    <w:rsid w:val="005F3128"/>
    <w:rsid w:val="005F48B5"/>
    <w:rsid w:val="005F5820"/>
    <w:rsid w:val="005F5F29"/>
    <w:rsid w:val="005F7803"/>
    <w:rsid w:val="00601408"/>
    <w:rsid w:val="00602A03"/>
    <w:rsid w:val="00605FA8"/>
    <w:rsid w:val="0061132F"/>
    <w:rsid w:val="0061469A"/>
    <w:rsid w:val="00616D12"/>
    <w:rsid w:val="00626CB9"/>
    <w:rsid w:val="00627103"/>
    <w:rsid w:val="00627845"/>
    <w:rsid w:val="00627A70"/>
    <w:rsid w:val="00630487"/>
    <w:rsid w:val="00632AAB"/>
    <w:rsid w:val="00633108"/>
    <w:rsid w:val="006417D9"/>
    <w:rsid w:val="00644331"/>
    <w:rsid w:val="006500F4"/>
    <w:rsid w:val="0065421C"/>
    <w:rsid w:val="006549FB"/>
    <w:rsid w:val="0065669B"/>
    <w:rsid w:val="00662A8A"/>
    <w:rsid w:val="00663F5F"/>
    <w:rsid w:val="006643E5"/>
    <w:rsid w:val="00664658"/>
    <w:rsid w:val="0066587C"/>
    <w:rsid w:val="006662EB"/>
    <w:rsid w:val="00667804"/>
    <w:rsid w:val="00667B02"/>
    <w:rsid w:val="00672464"/>
    <w:rsid w:val="00672A41"/>
    <w:rsid w:val="00674436"/>
    <w:rsid w:val="00676C95"/>
    <w:rsid w:val="0068104F"/>
    <w:rsid w:val="006839EF"/>
    <w:rsid w:val="00691AAC"/>
    <w:rsid w:val="00694C19"/>
    <w:rsid w:val="0069673A"/>
    <w:rsid w:val="00697CF0"/>
    <w:rsid w:val="006A4D79"/>
    <w:rsid w:val="006A5F86"/>
    <w:rsid w:val="006A6543"/>
    <w:rsid w:val="006A7E21"/>
    <w:rsid w:val="006B4D1D"/>
    <w:rsid w:val="006D0E2D"/>
    <w:rsid w:val="006D22E9"/>
    <w:rsid w:val="006E681D"/>
    <w:rsid w:val="00700806"/>
    <w:rsid w:val="00700BA6"/>
    <w:rsid w:val="00701D3F"/>
    <w:rsid w:val="00701D77"/>
    <w:rsid w:val="00703E34"/>
    <w:rsid w:val="00712F16"/>
    <w:rsid w:val="00717B06"/>
    <w:rsid w:val="00721791"/>
    <w:rsid w:val="0072413B"/>
    <w:rsid w:val="00725DE4"/>
    <w:rsid w:val="00725E75"/>
    <w:rsid w:val="007325BB"/>
    <w:rsid w:val="00741C32"/>
    <w:rsid w:val="007434D6"/>
    <w:rsid w:val="00746CA7"/>
    <w:rsid w:val="00753F99"/>
    <w:rsid w:val="0076186D"/>
    <w:rsid w:val="00761AAE"/>
    <w:rsid w:val="00762663"/>
    <w:rsid w:val="00762EFE"/>
    <w:rsid w:val="00764B9F"/>
    <w:rsid w:val="007659C0"/>
    <w:rsid w:val="007709BD"/>
    <w:rsid w:val="007737E5"/>
    <w:rsid w:val="00774395"/>
    <w:rsid w:val="007754DC"/>
    <w:rsid w:val="00784BB9"/>
    <w:rsid w:val="007851DC"/>
    <w:rsid w:val="00785FE0"/>
    <w:rsid w:val="00786548"/>
    <w:rsid w:val="00791E7B"/>
    <w:rsid w:val="007932A8"/>
    <w:rsid w:val="00797AC2"/>
    <w:rsid w:val="007A13EA"/>
    <w:rsid w:val="007A5571"/>
    <w:rsid w:val="007A636A"/>
    <w:rsid w:val="007A763B"/>
    <w:rsid w:val="007B58D3"/>
    <w:rsid w:val="007B69DC"/>
    <w:rsid w:val="007B6C92"/>
    <w:rsid w:val="007C0DA5"/>
    <w:rsid w:val="007C2C23"/>
    <w:rsid w:val="007C56C1"/>
    <w:rsid w:val="007C5E11"/>
    <w:rsid w:val="007C6354"/>
    <w:rsid w:val="007D369D"/>
    <w:rsid w:val="007D44C3"/>
    <w:rsid w:val="007D63C2"/>
    <w:rsid w:val="007E04A8"/>
    <w:rsid w:val="007E0C26"/>
    <w:rsid w:val="007E4D52"/>
    <w:rsid w:val="007F223B"/>
    <w:rsid w:val="00810BB7"/>
    <w:rsid w:val="00812A00"/>
    <w:rsid w:val="00820516"/>
    <w:rsid w:val="00820AB1"/>
    <w:rsid w:val="00826312"/>
    <w:rsid w:val="00826FF6"/>
    <w:rsid w:val="00831DE9"/>
    <w:rsid w:val="00842C65"/>
    <w:rsid w:val="00850E16"/>
    <w:rsid w:val="008516EB"/>
    <w:rsid w:val="008633CB"/>
    <w:rsid w:val="008709AA"/>
    <w:rsid w:val="00870CDB"/>
    <w:rsid w:val="00871609"/>
    <w:rsid w:val="008750A9"/>
    <w:rsid w:val="00883649"/>
    <w:rsid w:val="00892091"/>
    <w:rsid w:val="008922A3"/>
    <w:rsid w:val="008929F4"/>
    <w:rsid w:val="00893669"/>
    <w:rsid w:val="008975EB"/>
    <w:rsid w:val="00897BB4"/>
    <w:rsid w:val="008A0095"/>
    <w:rsid w:val="008A0E40"/>
    <w:rsid w:val="008A79DE"/>
    <w:rsid w:val="008A7FCB"/>
    <w:rsid w:val="008B035D"/>
    <w:rsid w:val="008B18C4"/>
    <w:rsid w:val="008B3C4A"/>
    <w:rsid w:val="008B739D"/>
    <w:rsid w:val="008C0397"/>
    <w:rsid w:val="008C2258"/>
    <w:rsid w:val="008D39AF"/>
    <w:rsid w:val="008D4E8D"/>
    <w:rsid w:val="008D6B68"/>
    <w:rsid w:val="008E047F"/>
    <w:rsid w:val="008E413D"/>
    <w:rsid w:val="008E6C53"/>
    <w:rsid w:val="008F274B"/>
    <w:rsid w:val="008F4FA9"/>
    <w:rsid w:val="008F72C2"/>
    <w:rsid w:val="00903836"/>
    <w:rsid w:val="0090474D"/>
    <w:rsid w:val="00905DAB"/>
    <w:rsid w:val="00906483"/>
    <w:rsid w:val="00906997"/>
    <w:rsid w:val="00907494"/>
    <w:rsid w:val="00912BD1"/>
    <w:rsid w:val="00914C56"/>
    <w:rsid w:val="0092262F"/>
    <w:rsid w:val="00927B96"/>
    <w:rsid w:val="009315E9"/>
    <w:rsid w:val="0093399B"/>
    <w:rsid w:val="00935317"/>
    <w:rsid w:val="00936008"/>
    <w:rsid w:val="009364C1"/>
    <w:rsid w:val="00937F73"/>
    <w:rsid w:val="00940AA7"/>
    <w:rsid w:val="009430F2"/>
    <w:rsid w:val="00953FEC"/>
    <w:rsid w:val="0095683C"/>
    <w:rsid w:val="009575F1"/>
    <w:rsid w:val="0096006B"/>
    <w:rsid w:val="00962EE6"/>
    <w:rsid w:val="00965049"/>
    <w:rsid w:val="00966F9B"/>
    <w:rsid w:val="00973EE3"/>
    <w:rsid w:val="00975388"/>
    <w:rsid w:val="00977C8E"/>
    <w:rsid w:val="00980EF9"/>
    <w:rsid w:val="0098270A"/>
    <w:rsid w:val="009875EE"/>
    <w:rsid w:val="00987811"/>
    <w:rsid w:val="0098792A"/>
    <w:rsid w:val="00993A53"/>
    <w:rsid w:val="009A3230"/>
    <w:rsid w:val="009B1076"/>
    <w:rsid w:val="009B37E0"/>
    <w:rsid w:val="009B5F12"/>
    <w:rsid w:val="009C24F1"/>
    <w:rsid w:val="009C3A9E"/>
    <w:rsid w:val="009C4274"/>
    <w:rsid w:val="009C5FEC"/>
    <w:rsid w:val="009C74EC"/>
    <w:rsid w:val="009C7E98"/>
    <w:rsid w:val="009D1A30"/>
    <w:rsid w:val="009D49CF"/>
    <w:rsid w:val="009D50EF"/>
    <w:rsid w:val="009D6A83"/>
    <w:rsid w:val="009E0356"/>
    <w:rsid w:val="009E66FB"/>
    <w:rsid w:val="009E679F"/>
    <w:rsid w:val="00A02FBA"/>
    <w:rsid w:val="00A05877"/>
    <w:rsid w:val="00A10605"/>
    <w:rsid w:val="00A12AAE"/>
    <w:rsid w:val="00A23275"/>
    <w:rsid w:val="00A241B6"/>
    <w:rsid w:val="00A30ADB"/>
    <w:rsid w:val="00A30B5F"/>
    <w:rsid w:val="00A31FCF"/>
    <w:rsid w:val="00A322F7"/>
    <w:rsid w:val="00A36624"/>
    <w:rsid w:val="00A425D0"/>
    <w:rsid w:val="00A45885"/>
    <w:rsid w:val="00A471B4"/>
    <w:rsid w:val="00A605D7"/>
    <w:rsid w:val="00A63152"/>
    <w:rsid w:val="00A64E5F"/>
    <w:rsid w:val="00A66C48"/>
    <w:rsid w:val="00A66EB1"/>
    <w:rsid w:val="00A7655D"/>
    <w:rsid w:val="00A776FB"/>
    <w:rsid w:val="00A814B8"/>
    <w:rsid w:val="00A82C74"/>
    <w:rsid w:val="00AA56BD"/>
    <w:rsid w:val="00AB4527"/>
    <w:rsid w:val="00AB715B"/>
    <w:rsid w:val="00AC5B50"/>
    <w:rsid w:val="00AD2503"/>
    <w:rsid w:val="00AE006C"/>
    <w:rsid w:val="00AE3C3C"/>
    <w:rsid w:val="00AE5B3C"/>
    <w:rsid w:val="00AE775F"/>
    <w:rsid w:val="00AF175E"/>
    <w:rsid w:val="00AF5933"/>
    <w:rsid w:val="00B0068C"/>
    <w:rsid w:val="00B022D6"/>
    <w:rsid w:val="00B066DC"/>
    <w:rsid w:val="00B07058"/>
    <w:rsid w:val="00B14385"/>
    <w:rsid w:val="00B3621C"/>
    <w:rsid w:val="00B36703"/>
    <w:rsid w:val="00B404F2"/>
    <w:rsid w:val="00B424C0"/>
    <w:rsid w:val="00B44C78"/>
    <w:rsid w:val="00B453B5"/>
    <w:rsid w:val="00B47368"/>
    <w:rsid w:val="00B53D8E"/>
    <w:rsid w:val="00B558C6"/>
    <w:rsid w:val="00B5594F"/>
    <w:rsid w:val="00B57048"/>
    <w:rsid w:val="00B57D0E"/>
    <w:rsid w:val="00B642C5"/>
    <w:rsid w:val="00B65505"/>
    <w:rsid w:val="00B75E73"/>
    <w:rsid w:val="00B85C60"/>
    <w:rsid w:val="00B85D97"/>
    <w:rsid w:val="00B91D9C"/>
    <w:rsid w:val="00B95266"/>
    <w:rsid w:val="00BA0408"/>
    <w:rsid w:val="00BA0854"/>
    <w:rsid w:val="00BA3131"/>
    <w:rsid w:val="00BB1426"/>
    <w:rsid w:val="00BB2252"/>
    <w:rsid w:val="00BB70D4"/>
    <w:rsid w:val="00BC071F"/>
    <w:rsid w:val="00BC33AF"/>
    <w:rsid w:val="00BD419D"/>
    <w:rsid w:val="00BD639D"/>
    <w:rsid w:val="00BD7FD2"/>
    <w:rsid w:val="00BE16C5"/>
    <w:rsid w:val="00BE1F55"/>
    <w:rsid w:val="00BE52DC"/>
    <w:rsid w:val="00BF062D"/>
    <w:rsid w:val="00BF25C4"/>
    <w:rsid w:val="00BF7967"/>
    <w:rsid w:val="00C019E6"/>
    <w:rsid w:val="00C05404"/>
    <w:rsid w:val="00C05745"/>
    <w:rsid w:val="00C20012"/>
    <w:rsid w:val="00C23187"/>
    <w:rsid w:val="00C24893"/>
    <w:rsid w:val="00C24DA8"/>
    <w:rsid w:val="00C33C81"/>
    <w:rsid w:val="00C36B71"/>
    <w:rsid w:val="00C36E0B"/>
    <w:rsid w:val="00C44668"/>
    <w:rsid w:val="00C5557A"/>
    <w:rsid w:val="00C55FFA"/>
    <w:rsid w:val="00C57664"/>
    <w:rsid w:val="00C64983"/>
    <w:rsid w:val="00C73AD3"/>
    <w:rsid w:val="00C76074"/>
    <w:rsid w:val="00C760AF"/>
    <w:rsid w:val="00C76CC3"/>
    <w:rsid w:val="00C8085E"/>
    <w:rsid w:val="00C81AD5"/>
    <w:rsid w:val="00C828DE"/>
    <w:rsid w:val="00C83B1C"/>
    <w:rsid w:val="00C8519B"/>
    <w:rsid w:val="00C9037F"/>
    <w:rsid w:val="00C903E6"/>
    <w:rsid w:val="00C95882"/>
    <w:rsid w:val="00C966B8"/>
    <w:rsid w:val="00CA0D49"/>
    <w:rsid w:val="00CA3655"/>
    <w:rsid w:val="00CA3A45"/>
    <w:rsid w:val="00CB589D"/>
    <w:rsid w:val="00CC1526"/>
    <w:rsid w:val="00CC3737"/>
    <w:rsid w:val="00CD62F6"/>
    <w:rsid w:val="00CE4B48"/>
    <w:rsid w:val="00CE53E6"/>
    <w:rsid w:val="00CE57DD"/>
    <w:rsid w:val="00CF0B51"/>
    <w:rsid w:val="00CF1338"/>
    <w:rsid w:val="00CF3B05"/>
    <w:rsid w:val="00CF59BC"/>
    <w:rsid w:val="00D0010C"/>
    <w:rsid w:val="00D02DA0"/>
    <w:rsid w:val="00D05EB5"/>
    <w:rsid w:val="00D069C2"/>
    <w:rsid w:val="00D0733F"/>
    <w:rsid w:val="00D07709"/>
    <w:rsid w:val="00D07798"/>
    <w:rsid w:val="00D116A1"/>
    <w:rsid w:val="00D136BF"/>
    <w:rsid w:val="00D22ACE"/>
    <w:rsid w:val="00D24BCC"/>
    <w:rsid w:val="00D31387"/>
    <w:rsid w:val="00D32107"/>
    <w:rsid w:val="00D35758"/>
    <w:rsid w:val="00D40E56"/>
    <w:rsid w:val="00D41AC6"/>
    <w:rsid w:val="00D42115"/>
    <w:rsid w:val="00D44514"/>
    <w:rsid w:val="00D50836"/>
    <w:rsid w:val="00D5708C"/>
    <w:rsid w:val="00D6645E"/>
    <w:rsid w:val="00D67ABD"/>
    <w:rsid w:val="00D67C8B"/>
    <w:rsid w:val="00D70806"/>
    <w:rsid w:val="00D70CF6"/>
    <w:rsid w:val="00D71E34"/>
    <w:rsid w:val="00D71E99"/>
    <w:rsid w:val="00D73F72"/>
    <w:rsid w:val="00D7708A"/>
    <w:rsid w:val="00D83E23"/>
    <w:rsid w:val="00D849ED"/>
    <w:rsid w:val="00D85517"/>
    <w:rsid w:val="00D966E8"/>
    <w:rsid w:val="00DB346D"/>
    <w:rsid w:val="00DB5319"/>
    <w:rsid w:val="00DC01B4"/>
    <w:rsid w:val="00DC1367"/>
    <w:rsid w:val="00DC5CCD"/>
    <w:rsid w:val="00DC608B"/>
    <w:rsid w:val="00DD0546"/>
    <w:rsid w:val="00DD10EF"/>
    <w:rsid w:val="00DD1DB6"/>
    <w:rsid w:val="00DD6DEC"/>
    <w:rsid w:val="00DE5709"/>
    <w:rsid w:val="00DF1475"/>
    <w:rsid w:val="00DF2F51"/>
    <w:rsid w:val="00DF5F8B"/>
    <w:rsid w:val="00E02461"/>
    <w:rsid w:val="00E04325"/>
    <w:rsid w:val="00E14B21"/>
    <w:rsid w:val="00E14E54"/>
    <w:rsid w:val="00E156A4"/>
    <w:rsid w:val="00E17789"/>
    <w:rsid w:val="00E20FEB"/>
    <w:rsid w:val="00E26948"/>
    <w:rsid w:val="00E35303"/>
    <w:rsid w:val="00E37FF3"/>
    <w:rsid w:val="00E42184"/>
    <w:rsid w:val="00E504F3"/>
    <w:rsid w:val="00E5498E"/>
    <w:rsid w:val="00E62AA1"/>
    <w:rsid w:val="00E652E5"/>
    <w:rsid w:val="00E67EB6"/>
    <w:rsid w:val="00E7112C"/>
    <w:rsid w:val="00E76FA5"/>
    <w:rsid w:val="00E8089F"/>
    <w:rsid w:val="00E82876"/>
    <w:rsid w:val="00E848D9"/>
    <w:rsid w:val="00E9328C"/>
    <w:rsid w:val="00E9535A"/>
    <w:rsid w:val="00E96B67"/>
    <w:rsid w:val="00EB6B3E"/>
    <w:rsid w:val="00EC54CC"/>
    <w:rsid w:val="00EC5D45"/>
    <w:rsid w:val="00ED1600"/>
    <w:rsid w:val="00ED1E89"/>
    <w:rsid w:val="00ED39AB"/>
    <w:rsid w:val="00ED5C71"/>
    <w:rsid w:val="00ED5CE1"/>
    <w:rsid w:val="00EE3C98"/>
    <w:rsid w:val="00EE63B5"/>
    <w:rsid w:val="00EE72FE"/>
    <w:rsid w:val="00EE78FA"/>
    <w:rsid w:val="00EF2568"/>
    <w:rsid w:val="00EF4C07"/>
    <w:rsid w:val="00F01035"/>
    <w:rsid w:val="00F02F6F"/>
    <w:rsid w:val="00F040A9"/>
    <w:rsid w:val="00F04733"/>
    <w:rsid w:val="00F064DD"/>
    <w:rsid w:val="00F07995"/>
    <w:rsid w:val="00F12D3B"/>
    <w:rsid w:val="00F149B8"/>
    <w:rsid w:val="00F16CB5"/>
    <w:rsid w:val="00F2083D"/>
    <w:rsid w:val="00F25DDF"/>
    <w:rsid w:val="00F315AC"/>
    <w:rsid w:val="00F31AFA"/>
    <w:rsid w:val="00F3628A"/>
    <w:rsid w:val="00F4028D"/>
    <w:rsid w:val="00F473A9"/>
    <w:rsid w:val="00F47DD8"/>
    <w:rsid w:val="00F50CA2"/>
    <w:rsid w:val="00F625BF"/>
    <w:rsid w:val="00F625F4"/>
    <w:rsid w:val="00F6374E"/>
    <w:rsid w:val="00F6430A"/>
    <w:rsid w:val="00F72B78"/>
    <w:rsid w:val="00F745B0"/>
    <w:rsid w:val="00F8021C"/>
    <w:rsid w:val="00F8140E"/>
    <w:rsid w:val="00F82EBF"/>
    <w:rsid w:val="00F845F9"/>
    <w:rsid w:val="00F95C02"/>
    <w:rsid w:val="00F962F0"/>
    <w:rsid w:val="00F965C7"/>
    <w:rsid w:val="00F96E8D"/>
    <w:rsid w:val="00F96EFC"/>
    <w:rsid w:val="00FA1648"/>
    <w:rsid w:val="00FA560B"/>
    <w:rsid w:val="00FA7E86"/>
    <w:rsid w:val="00FB2556"/>
    <w:rsid w:val="00FB37FE"/>
    <w:rsid w:val="00FB4364"/>
    <w:rsid w:val="00FB70DD"/>
    <w:rsid w:val="00FD29D8"/>
    <w:rsid w:val="00FE01B7"/>
    <w:rsid w:val="00FE24FE"/>
    <w:rsid w:val="00FE7567"/>
    <w:rsid w:val="00FF18D0"/>
    <w:rsid w:val="00FF5340"/>
    <w:rsid w:val="00FF6448"/>
    <w:rsid w:val="00FF71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EE3C98"/>
    <w:rPr>
      <w:sz w:val="24"/>
      <w:szCs w:val="24"/>
    </w:rPr>
  </w:style>
  <w:style w:type="paragraph" w:styleId="Titolo1">
    <w:name w:val="heading 1"/>
    <w:basedOn w:val="Normale"/>
    <w:next w:val="Normale"/>
    <w:link w:val="Titolo1Carattere"/>
    <w:uiPriority w:val="99"/>
    <w:qFormat/>
    <w:rsid w:val="00627845"/>
    <w:pPr>
      <w:keepNext/>
      <w:spacing w:before="240" w:after="60"/>
      <w:outlineLvl w:val="0"/>
    </w:pPr>
    <w:rPr>
      <w:rFonts w:ascii="Cambria" w:hAnsi="Cambria" w:cs="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27845"/>
    <w:rPr>
      <w:rFonts w:ascii="Cambria" w:hAnsi="Cambria" w:cs="Cambria"/>
      <w:b/>
      <w:bCs/>
      <w:kern w:val="32"/>
      <w:sz w:val="32"/>
      <w:szCs w:val="32"/>
    </w:rPr>
  </w:style>
  <w:style w:type="character" w:styleId="Collegamentoipertestuale">
    <w:name w:val="Hyperlink"/>
    <w:basedOn w:val="Carpredefinitoparagrafo"/>
    <w:uiPriority w:val="99"/>
    <w:rsid w:val="00EE3C98"/>
    <w:rPr>
      <w:color w:val="0000FF"/>
      <w:u w:val="single"/>
    </w:rPr>
  </w:style>
  <w:style w:type="paragraph" w:styleId="Corpodeltesto">
    <w:name w:val="Body Text"/>
    <w:basedOn w:val="Normale"/>
    <w:link w:val="CorpodeltestoCarattere"/>
    <w:uiPriority w:val="99"/>
    <w:rsid w:val="00EE3C98"/>
    <w:pPr>
      <w:jc w:val="center"/>
    </w:pPr>
    <w:rPr>
      <w:rFonts w:ascii="Arial" w:hAnsi="Arial" w:cs="Arial"/>
      <w:sz w:val="22"/>
      <w:szCs w:val="22"/>
    </w:rPr>
  </w:style>
  <w:style w:type="character" w:customStyle="1" w:styleId="CorpodeltestoCarattere">
    <w:name w:val="Corpo del testo Carattere"/>
    <w:basedOn w:val="Carpredefinitoparagrafo"/>
    <w:link w:val="Corpodeltesto"/>
    <w:uiPriority w:val="99"/>
    <w:semiHidden/>
    <w:rsid w:val="00061CB3"/>
    <w:rPr>
      <w:sz w:val="24"/>
      <w:szCs w:val="24"/>
    </w:rPr>
  </w:style>
  <w:style w:type="paragraph" w:styleId="Titolo">
    <w:name w:val="Title"/>
    <w:basedOn w:val="Normale"/>
    <w:link w:val="TitoloCarattere"/>
    <w:uiPriority w:val="99"/>
    <w:qFormat/>
    <w:rsid w:val="00EE3C98"/>
    <w:pPr>
      <w:jc w:val="center"/>
    </w:pPr>
    <w:rPr>
      <w:rFonts w:ascii="Arial" w:hAnsi="Arial" w:cs="Arial"/>
      <w:sz w:val="48"/>
      <w:szCs w:val="48"/>
    </w:rPr>
  </w:style>
  <w:style w:type="character" w:customStyle="1" w:styleId="TitoloCarattere">
    <w:name w:val="Titolo Carattere"/>
    <w:basedOn w:val="Carpredefinitoparagrafo"/>
    <w:link w:val="Titolo"/>
    <w:uiPriority w:val="10"/>
    <w:rsid w:val="00061CB3"/>
    <w:rPr>
      <w:rFonts w:asciiTheme="majorHAnsi" w:eastAsiaTheme="majorEastAsia" w:hAnsiTheme="majorHAnsi" w:cstheme="majorBidi"/>
      <w:b/>
      <w:bCs/>
      <w:kern w:val="28"/>
      <w:sz w:val="32"/>
      <w:szCs w:val="32"/>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cs="Verdana"/>
      <w:b/>
      <w:bCs/>
    </w:rPr>
  </w:style>
  <w:style w:type="character" w:customStyle="1" w:styleId="provvrubrica1">
    <w:name w:val="provv_rubrica1"/>
    <w:uiPriority w:val="99"/>
    <w:rsid w:val="00A241B6"/>
    <w:rPr>
      <w:rFonts w:ascii="Verdana" w:hAnsi="Verdana" w:cs="Verdana"/>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cs="Verdana"/>
    </w:rPr>
  </w:style>
  <w:style w:type="paragraph" w:styleId="Testonotaapidipagina">
    <w:name w:val="footnote text"/>
    <w:basedOn w:val="Normale"/>
    <w:link w:val="TestonotaapidipaginaCarattere"/>
    <w:uiPriority w:val="99"/>
    <w:semiHidden/>
    <w:rsid w:val="003F1C1A"/>
    <w:rPr>
      <w:sz w:val="20"/>
      <w:szCs w:val="20"/>
    </w:rPr>
  </w:style>
  <w:style w:type="character" w:customStyle="1" w:styleId="TestonotaapidipaginaCarattere">
    <w:name w:val="Testo nota a piè di pagina Carattere"/>
    <w:basedOn w:val="Carpredefinitoparagrafo"/>
    <w:link w:val="Testonotaapidipagina"/>
    <w:uiPriority w:val="99"/>
    <w:semiHidden/>
    <w:rsid w:val="00061CB3"/>
    <w:rPr>
      <w:sz w:val="20"/>
      <w:szCs w:val="20"/>
    </w:rPr>
  </w:style>
  <w:style w:type="character" w:styleId="Rimandonotaapidipagina">
    <w:name w:val="footnote reference"/>
    <w:basedOn w:val="Carpredefinitoparagrafo"/>
    <w:uiPriority w:val="99"/>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CB3"/>
    <w:rPr>
      <w:sz w:val="0"/>
      <w:szCs w:val="0"/>
    </w:rPr>
  </w:style>
  <w:style w:type="character" w:customStyle="1" w:styleId="linkneltesto">
    <w:name w:val="link_nel_testo"/>
    <w:uiPriority w:val="99"/>
    <w:rsid w:val="002871A1"/>
    <w:rPr>
      <w:i/>
      <w:iCs/>
    </w:rPr>
  </w:style>
  <w:style w:type="paragraph" w:customStyle="1" w:styleId="provvr0">
    <w:name w:val="provv_r0"/>
    <w:basedOn w:val="Normale"/>
    <w:uiPriority w:val="99"/>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character" w:customStyle="1" w:styleId="provvnumcomma">
    <w:name w:val="provv_numcomma"/>
    <w:uiPriority w:val="99"/>
    <w:rsid w:val="00DC01B4"/>
  </w:style>
  <w:style w:type="paragraph" w:styleId="Paragrafoelenco">
    <w:name w:val="List Paragraph"/>
    <w:basedOn w:val="Normale"/>
    <w:uiPriority w:val="34"/>
    <w:qFormat/>
    <w:rsid w:val="002C2A24"/>
    <w:pPr>
      <w:spacing w:after="200" w:line="276" w:lineRule="auto"/>
      <w:ind w:left="720"/>
    </w:pPr>
    <w:rPr>
      <w:rFonts w:ascii="Calibri" w:hAnsi="Calibri" w:cs="Calibri"/>
      <w:sz w:val="22"/>
      <w:szCs w:val="22"/>
      <w:lang w:eastAsia="en-US"/>
    </w:rPr>
  </w:style>
  <w:style w:type="character" w:styleId="Numeroriga">
    <w:name w:val="line number"/>
    <w:basedOn w:val="Carpredefinitoparagrafo"/>
    <w:uiPriority w:val="99"/>
    <w:rsid w:val="007B58D3"/>
  </w:style>
  <w:style w:type="paragraph" w:styleId="Intestazione">
    <w:name w:val="header"/>
    <w:basedOn w:val="Normale"/>
    <w:link w:val="IntestazioneCarattere"/>
    <w:uiPriority w:val="99"/>
    <w:rsid w:val="007B5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8D3"/>
    <w:rPr>
      <w:sz w:val="24"/>
      <w:szCs w:val="24"/>
    </w:rPr>
  </w:style>
  <w:style w:type="paragraph" w:styleId="Pidipagina">
    <w:name w:val="footer"/>
    <w:basedOn w:val="Normale"/>
    <w:link w:val="PidipaginaCarattere"/>
    <w:uiPriority w:val="99"/>
    <w:rsid w:val="007B58D3"/>
    <w:pPr>
      <w:tabs>
        <w:tab w:val="center" w:pos="4819"/>
        <w:tab w:val="right" w:pos="9638"/>
      </w:tabs>
    </w:pPr>
  </w:style>
  <w:style w:type="character" w:customStyle="1" w:styleId="PidipaginaCarattere">
    <w:name w:val="Piè di pagina Carattere"/>
    <w:basedOn w:val="Carpredefinitoparagrafo"/>
    <w:link w:val="Pidipagina"/>
    <w:uiPriority w:val="99"/>
    <w:locked/>
    <w:rsid w:val="007B58D3"/>
    <w:rPr>
      <w:sz w:val="24"/>
      <w:szCs w:val="24"/>
    </w:rPr>
  </w:style>
  <w:style w:type="paragraph" w:styleId="Corpodeltesto2">
    <w:name w:val="Body Text 2"/>
    <w:basedOn w:val="Normale"/>
    <w:link w:val="Corpodeltesto2Carattere"/>
    <w:uiPriority w:val="99"/>
    <w:rsid w:val="004465AE"/>
    <w:pPr>
      <w:spacing w:after="120" w:line="480" w:lineRule="auto"/>
    </w:pPr>
  </w:style>
  <w:style w:type="character" w:customStyle="1" w:styleId="Corpodeltesto2Carattere">
    <w:name w:val="Corpo del testo 2 Carattere"/>
    <w:basedOn w:val="Carpredefinitoparagrafo"/>
    <w:link w:val="Corpodeltesto2"/>
    <w:uiPriority w:val="99"/>
    <w:semiHidden/>
    <w:rsid w:val="00061CB3"/>
    <w:rPr>
      <w:sz w:val="24"/>
      <w:szCs w:val="24"/>
    </w:rPr>
  </w:style>
  <w:style w:type="table" w:styleId="Grigliatabella">
    <w:name w:val="Table Grid"/>
    <w:basedOn w:val="Tabellanormale"/>
    <w:uiPriority w:val="59"/>
    <w:rsid w:val="00980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3C2446"/>
  </w:style>
  <w:style w:type="paragraph" w:styleId="Nessunaspaziatura">
    <w:name w:val="No Spacing"/>
    <w:link w:val="NessunaspaziaturaCarattere"/>
    <w:uiPriority w:val="99"/>
    <w:qFormat/>
    <w:rsid w:val="00D22ACE"/>
    <w:rPr>
      <w:rFonts w:ascii="Calibri" w:hAnsi="Calibri" w:cs="Calibri"/>
      <w:lang w:eastAsia="en-US"/>
    </w:rPr>
  </w:style>
  <w:style w:type="character" w:customStyle="1" w:styleId="NessunaspaziaturaCarattere">
    <w:name w:val="Nessuna spaziatura Carattere"/>
    <w:link w:val="Nessunaspaziatura"/>
    <w:uiPriority w:val="99"/>
    <w:locked/>
    <w:rsid w:val="00D22ACE"/>
    <w:rPr>
      <w:rFonts w:ascii="Calibri" w:hAnsi="Calibri" w:cs="Calibri"/>
      <w:sz w:val="22"/>
      <w:szCs w:val="22"/>
      <w:lang w:val="it-IT" w:eastAsia="en-US"/>
    </w:rPr>
  </w:style>
  <w:style w:type="paragraph" w:styleId="Titolosommario">
    <w:name w:val="TOC Heading"/>
    <w:basedOn w:val="Titolo1"/>
    <w:next w:val="Normale"/>
    <w:uiPriority w:val="39"/>
    <w:qFormat/>
    <w:rsid w:val="00627845"/>
    <w:pPr>
      <w:keepLines/>
      <w:spacing w:before="480" w:after="0" w:line="276" w:lineRule="auto"/>
      <w:outlineLvl w:val="9"/>
    </w:pPr>
    <w:rPr>
      <w:color w:val="365F91"/>
      <w:kern w:val="0"/>
      <w:sz w:val="28"/>
      <w:szCs w:val="28"/>
      <w:lang w:eastAsia="en-US"/>
    </w:rPr>
  </w:style>
  <w:style w:type="table" w:styleId="Tabellacontemporanea">
    <w:name w:val="Table Contemporary"/>
    <w:basedOn w:val="Tabellanormale"/>
    <w:uiPriority w:val="99"/>
    <w:rsid w:val="007D369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colonne5">
    <w:name w:val="Table Columns 5"/>
    <w:basedOn w:val="Tabellanormale"/>
    <w:uiPriority w:val="99"/>
    <w:rsid w:val="007D369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ombreggiatura1">
    <w:name w:val="Table Subtle 1"/>
    <w:basedOn w:val="Tabellanormale"/>
    <w:uiPriority w:val="99"/>
    <w:rsid w:val="007D369D"/>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D369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rsid w:val="007D36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chiara-Colore5">
    <w:name w:val="Light Grid Accent 5"/>
    <w:basedOn w:val="Tabellanormale"/>
    <w:uiPriority w:val="99"/>
    <w:rsid w:val="007D369D"/>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Tabellaeffetti3D1">
    <w:name w:val="Table 3D effects 1"/>
    <w:basedOn w:val="Tabellanormale"/>
    <w:uiPriority w:val="99"/>
    <w:rsid w:val="007D369D"/>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colonne2">
    <w:name w:val="Table Columns 2"/>
    <w:basedOn w:val="Tabellanormale"/>
    <w:uiPriority w:val="99"/>
    <w:rsid w:val="007D369D"/>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itoloA">
    <w:name w:val="Titolo A"/>
    <w:basedOn w:val="Normale"/>
    <w:uiPriority w:val="99"/>
    <w:rsid w:val="00B424C0"/>
    <w:pPr>
      <w:spacing w:line="360" w:lineRule="auto"/>
      <w:ind w:right="567"/>
      <w:jc w:val="center"/>
    </w:pPr>
    <w:rPr>
      <w:rFonts w:ascii="Arial" w:hAnsi="Arial" w:cs="Arial"/>
      <w:b/>
      <w:bCs/>
      <w:sz w:val="32"/>
      <w:szCs w:val="32"/>
    </w:rPr>
  </w:style>
  <w:style w:type="paragraph" w:customStyle="1" w:styleId="TitoloB">
    <w:name w:val="Titolo B"/>
    <w:basedOn w:val="Normale"/>
    <w:uiPriority w:val="99"/>
    <w:rsid w:val="008B035D"/>
    <w:pPr>
      <w:spacing w:after="120" w:line="360" w:lineRule="auto"/>
      <w:ind w:right="567"/>
    </w:pPr>
    <w:rPr>
      <w:rFonts w:ascii="Arial" w:hAnsi="Arial" w:cs="Arial"/>
      <w:b/>
      <w:bCs/>
      <w:sz w:val="22"/>
      <w:szCs w:val="22"/>
    </w:rPr>
  </w:style>
  <w:style w:type="paragraph" w:customStyle="1" w:styleId="TitoloC">
    <w:name w:val="Titolo C"/>
    <w:basedOn w:val="Corpodeltesto"/>
    <w:uiPriority w:val="99"/>
    <w:rsid w:val="008B035D"/>
    <w:pPr>
      <w:spacing w:after="120" w:line="360" w:lineRule="auto"/>
      <w:jc w:val="both"/>
    </w:pPr>
    <w:rPr>
      <w:u w:val="single"/>
    </w:rPr>
  </w:style>
  <w:style w:type="paragraph" w:customStyle="1" w:styleId="Style5">
    <w:name w:val="Style5"/>
    <w:basedOn w:val="Normale"/>
    <w:uiPriority w:val="99"/>
    <w:rsid w:val="000E17F3"/>
    <w:pPr>
      <w:widowControl w:val="0"/>
      <w:autoSpaceDE w:val="0"/>
      <w:autoSpaceDN w:val="0"/>
      <w:adjustRightInd w:val="0"/>
      <w:spacing w:line="278" w:lineRule="exact"/>
    </w:pPr>
  </w:style>
  <w:style w:type="character" w:customStyle="1" w:styleId="FontStyle26">
    <w:name w:val="Font Style26"/>
    <w:uiPriority w:val="99"/>
    <w:rsid w:val="000E17F3"/>
    <w:rPr>
      <w:rFonts w:ascii="Times New Roman" w:hAnsi="Times New Roman" w:cs="Times New Roman"/>
      <w:color w:val="000000"/>
      <w:sz w:val="20"/>
      <w:szCs w:val="20"/>
    </w:rPr>
  </w:style>
  <w:style w:type="paragraph" w:customStyle="1" w:styleId="Style12">
    <w:name w:val="Style12"/>
    <w:basedOn w:val="Normale"/>
    <w:uiPriority w:val="99"/>
    <w:rsid w:val="000E17F3"/>
    <w:pPr>
      <w:widowControl w:val="0"/>
      <w:autoSpaceDE w:val="0"/>
      <w:autoSpaceDN w:val="0"/>
      <w:adjustRightInd w:val="0"/>
      <w:spacing w:line="278" w:lineRule="exact"/>
      <w:ind w:firstLine="173"/>
      <w:jc w:val="both"/>
    </w:pPr>
  </w:style>
  <w:style w:type="table" w:styleId="Grigliamedia1-Colore1">
    <w:name w:val="Medium Grid 1 Accent 1"/>
    <w:basedOn w:val="Tabellanormale"/>
    <w:uiPriority w:val="67"/>
    <w:rsid w:val="000E17F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Elencoscuro">
    <w:name w:val="Dark List"/>
    <w:basedOn w:val="Tabellanormale"/>
    <w:uiPriority w:val="70"/>
    <w:rsid w:val="000E17F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fondochiaro-Colore6">
    <w:name w:val="Light Shading Accent 6"/>
    <w:basedOn w:val="Tabellanormale"/>
    <w:uiPriority w:val="60"/>
    <w:rsid w:val="000E17F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Colore1">
    <w:name w:val="Light List Accent 1"/>
    <w:basedOn w:val="Tabellanormale"/>
    <w:uiPriority w:val="61"/>
    <w:rsid w:val="000E17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C81AD5"/>
    <w:pPr>
      <w:autoSpaceDE w:val="0"/>
      <w:autoSpaceDN w:val="0"/>
      <w:adjustRightInd w:val="0"/>
    </w:pPr>
    <w:rPr>
      <w:color w:val="000000"/>
      <w:sz w:val="24"/>
      <w:szCs w:val="24"/>
    </w:rPr>
  </w:style>
  <w:style w:type="character" w:styleId="Enfasicorsivo">
    <w:name w:val="Emphasis"/>
    <w:basedOn w:val="Carpredefinitoparagrafo"/>
    <w:uiPriority w:val="20"/>
    <w:qFormat/>
    <w:locked/>
    <w:rsid w:val="003F303E"/>
    <w:rPr>
      <w:b w:val="0"/>
      <w:bCs w:val="0"/>
      <w:i/>
      <w:iCs/>
    </w:rPr>
  </w:style>
  <w:style w:type="paragraph" w:styleId="Sommario2">
    <w:name w:val="toc 2"/>
    <w:basedOn w:val="Normale"/>
    <w:next w:val="Normale"/>
    <w:autoRedefine/>
    <w:uiPriority w:val="39"/>
    <w:unhideWhenUsed/>
    <w:rsid w:val="00F4028D"/>
    <w:pPr>
      <w:tabs>
        <w:tab w:val="right" w:leader="dot" w:pos="14107"/>
      </w:tabs>
      <w:ind w:left="238"/>
    </w:pPr>
  </w:style>
  <w:style w:type="character" w:styleId="Enfasigrassetto">
    <w:name w:val="Strong"/>
    <w:basedOn w:val="Carpredefinitoparagrafo"/>
    <w:uiPriority w:val="22"/>
    <w:qFormat/>
    <w:locked/>
    <w:rsid w:val="0052683D"/>
    <w:rPr>
      <w:b/>
      <w:bCs/>
    </w:rPr>
  </w:style>
  <w:style w:type="character" w:customStyle="1" w:styleId="evidenziato1">
    <w:name w:val="evidenziato1"/>
    <w:basedOn w:val="Carpredefinitoparagrafo"/>
    <w:rsid w:val="00D0010C"/>
    <w:rPr>
      <w:b/>
      <w:bCs/>
      <w:color w:val="0069B4"/>
      <w:sz w:val="21"/>
      <w:szCs w:val="21"/>
    </w:rPr>
  </w:style>
  <w:style w:type="paragraph" w:customStyle="1" w:styleId="Standard">
    <w:name w:val="Standard"/>
    <w:rsid w:val="000E6E23"/>
    <w:pPr>
      <w:suppressAutoHyphens/>
      <w:autoSpaceDN w:val="0"/>
      <w:textAlignment w:val="baseline"/>
    </w:pPr>
    <w:rPr>
      <w:kern w:val="3"/>
      <w:sz w:val="24"/>
      <w:szCs w:val="24"/>
    </w:rPr>
  </w:style>
  <w:style w:type="paragraph" w:customStyle="1" w:styleId="Textbody">
    <w:name w:val="Text body"/>
    <w:basedOn w:val="Standard"/>
    <w:rsid w:val="000E6E23"/>
    <w:pPr>
      <w:jc w:val="center"/>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307983278">
      <w:bodyDiv w:val="1"/>
      <w:marLeft w:val="0"/>
      <w:marRight w:val="0"/>
      <w:marTop w:val="0"/>
      <w:marBottom w:val="0"/>
      <w:divBdr>
        <w:top w:val="none" w:sz="0" w:space="0" w:color="auto"/>
        <w:left w:val="none" w:sz="0" w:space="0" w:color="auto"/>
        <w:bottom w:val="none" w:sz="0" w:space="0" w:color="auto"/>
        <w:right w:val="none" w:sz="0" w:space="0" w:color="auto"/>
      </w:divBdr>
      <w:divsChild>
        <w:div w:id="1739666529">
          <w:marLeft w:val="0"/>
          <w:marRight w:val="0"/>
          <w:marTop w:val="525"/>
          <w:marBottom w:val="0"/>
          <w:divBdr>
            <w:top w:val="none" w:sz="0" w:space="0" w:color="auto"/>
            <w:left w:val="none" w:sz="0" w:space="0" w:color="auto"/>
            <w:bottom w:val="none" w:sz="0" w:space="0" w:color="auto"/>
            <w:right w:val="none" w:sz="0" w:space="0" w:color="auto"/>
          </w:divBdr>
          <w:divsChild>
            <w:div w:id="1343627265">
              <w:marLeft w:val="0"/>
              <w:marRight w:val="0"/>
              <w:marTop w:val="0"/>
              <w:marBottom w:val="0"/>
              <w:divBdr>
                <w:top w:val="none" w:sz="0" w:space="0" w:color="auto"/>
                <w:left w:val="none" w:sz="0" w:space="0" w:color="auto"/>
                <w:bottom w:val="none" w:sz="0" w:space="0" w:color="auto"/>
                <w:right w:val="none" w:sz="0" w:space="0" w:color="auto"/>
              </w:divBdr>
              <w:divsChild>
                <w:div w:id="958531777">
                  <w:marLeft w:val="0"/>
                  <w:marRight w:val="0"/>
                  <w:marTop w:val="0"/>
                  <w:marBottom w:val="0"/>
                  <w:divBdr>
                    <w:top w:val="none" w:sz="0" w:space="0" w:color="auto"/>
                    <w:left w:val="none" w:sz="0" w:space="0" w:color="auto"/>
                    <w:bottom w:val="none" w:sz="0" w:space="0" w:color="auto"/>
                    <w:right w:val="none" w:sz="0" w:space="0" w:color="auto"/>
                  </w:divBdr>
                  <w:divsChild>
                    <w:div w:id="451899611">
                      <w:marLeft w:val="0"/>
                      <w:marRight w:val="0"/>
                      <w:marTop w:val="0"/>
                      <w:marBottom w:val="0"/>
                      <w:divBdr>
                        <w:top w:val="none" w:sz="0" w:space="0" w:color="auto"/>
                        <w:left w:val="none" w:sz="0" w:space="0" w:color="auto"/>
                        <w:bottom w:val="none" w:sz="0" w:space="0" w:color="auto"/>
                        <w:right w:val="none" w:sz="0" w:space="0" w:color="auto"/>
                      </w:divBdr>
                      <w:divsChild>
                        <w:div w:id="1485854917">
                          <w:marLeft w:val="0"/>
                          <w:marRight w:val="0"/>
                          <w:marTop w:val="0"/>
                          <w:marBottom w:val="0"/>
                          <w:divBdr>
                            <w:top w:val="none" w:sz="0" w:space="0" w:color="auto"/>
                            <w:left w:val="none" w:sz="0" w:space="0" w:color="auto"/>
                            <w:bottom w:val="none" w:sz="0" w:space="0" w:color="auto"/>
                            <w:right w:val="none" w:sz="0" w:space="0" w:color="auto"/>
                          </w:divBdr>
                          <w:divsChild>
                            <w:div w:id="92095829">
                              <w:marLeft w:val="0"/>
                              <w:marRight w:val="0"/>
                              <w:marTop w:val="0"/>
                              <w:marBottom w:val="0"/>
                              <w:divBdr>
                                <w:top w:val="none" w:sz="0" w:space="0" w:color="auto"/>
                                <w:left w:val="none" w:sz="0" w:space="0" w:color="auto"/>
                                <w:bottom w:val="none" w:sz="0" w:space="0" w:color="auto"/>
                                <w:right w:val="none" w:sz="0" w:space="0" w:color="auto"/>
                              </w:divBdr>
                              <w:divsChild>
                                <w:div w:id="1586185775">
                                  <w:marLeft w:val="0"/>
                                  <w:marRight w:val="0"/>
                                  <w:marTop w:val="0"/>
                                  <w:marBottom w:val="0"/>
                                  <w:divBdr>
                                    <w:top w:val="none" w:sz="0" w:space="0" w:color="auto"/>
                                    <w:left w:val="none" w:sz="0" w:space="0" w:color="auto"/>
                                    <w:bottom w:val="none" w:sz="0" w:space="0" w:color="auto"/>
                                    <w:right w:val="none" w:sz="0" w:space="0" w:color="auto"/>
                                  </w:divBdr>
                                  <w:divsChild>
                                    <w:div w:id="60877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5789">
      <w:bodyDiv w:val="1"/>
      <w:marLeft w:val="0"/>
      <w:marRight w:val="0"/>
      <w:marTop w:val="0"/>
      <w:marBottom w:val="0"/>
      <w:divBdr>
        <w:top w:val="none" w:sz="0" w:space="0" w:color="auto"/>
        <w:left w:val="none" w:sz="0" w:space="0" w:color="auto"/>
        <w:bottom w:val="none" w:sz="0" w:space="0" w:color="auto"/>
        <w:right w:val="none" w:sz="0" w:space="0" w:color="auto"/>
      </w:divBdr>
      <w:divsChild>
        <w:div w:id="812715600">
          <w:marLeft w:val="0"/>
          <w:marRight w:val="0"/>
          <w:marTop w:val="0"/>
          <w:marBottom w:val="0"/>
          <w:divBdr>
            <w:top w:val="none" w:sz="0" w:space="0" w:color="auto"/>
            <w:left w:val="none" w:sz="0" w:space="0" w:color="auto"/>
            <w:bottom w:val="none" w:sz="0" w:space="0" w:color="auto"/>
            <w:right w:val="none" w:sz="0" w:space="0" w:color="auto"/>
          </w:divBdr>
          <w:divsChild>
            <w:div w:id="1719158713">
              <w:marLeft w:val="0"/>
              <w:marRight w:val="0"/>
              <w:marTop w:val="0"/>
              <w:marBottom w:val="0"/>
              <w:divBdr>
                <w:top w:val="none" w:sz="0" w:space="0" w:color="auto"/>
                <w:left w:val="none" w:sz="0" w:space="0" w:color="auto"/>
                <w:bottom w:val="none" w:sz="0" w:space="0" w:color="auto"/>
                <w:right w:val="none" w:sz="0" w:space="0" w:color="auto"/>
              </w:divBdr>
              <w:divsChild>
                <w:div w:id="2139643479">
                  <w:marLeft w:val="0"/>
                  <w:marRight w:val="0"/>
                  <w:marTop w:val="0"/>
                  <w:marBottom w:val="0"/>
                  <w:divBdr>
                    <w:top w:val="none" w:sz="0" w:space="0" w:color="auto"/>
                    <w:left w:val="none" w:sz="0" w:space="0" w:color="auto"/>
                    <w:bottom w:val="none" w:sz="0" w:space="0" w:color="auto"/>
                    <w:right w:val="none" w:sz="0" w:space="0" w:color="auto"/>
                  </w:divBdr>
                  <w:divsChild>
                    <w:div w:id="231739913">
                      <w:marLeft w:val="0"/>
                      <w:marRight w:val="0"/>
                      <w:marTop w:val="0"/>
                      <w:marBottom w:val="0"/>
                      <w:divBdr>
                        <w:top w:val="none" w:sz="0" w:space="0" w:color="auto"/>
                        <w:left w:val="none" w:sz="0" w:space="0" w:color="auto"/>
                        <w:bottom w:val="none" w:sz="0" w:space="0" w:color="auto"/>
                        <w:right w:val="none" w:sz="0" w:space="0" w:color="auto"/>
                      </w:divBdr>
                      <w:divsChild>
                        <w:div w:id="1674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327096">
      <w:bodyDiv w:val="1"/>
      <w:marLeft w:val="0"/>
      <w:marRight w:val="0"/>
      <w:marTop w:val="0"/>
      <w:marBottom w:val="0"/>
      <w:divBdr>
        <w:top w:val="none" w:sz="0" w:space="0" w:color="auto"/>
        <w:left w:val="none" w:sz="0" w:space="0" w:color="auto"/>
        <w:bottom w:val="none" w:sz="0" w:space="0" w:color="auto"/>
        <w:right w:val="none" w:sz="0" w:space="0" w:color="auto"/>
      </w:divBdr>
      <w:divsChild>
        <w:div w:id="1874877307">
          <w:marLeft w:val="288"/>
          <w:marRight w:val="0"/>
          <w:marTop w:val="115"/>
          <w:marBottom w:val="0"/>
          <w:divBdr>
            <w:top w:val="none" w:sz="0" w:space="0" w:color="auto"/>
            <w:left w:val="none" w:sz="0" w:space="0" w:color="auto"/>
            <w:bottom w:val="none" w:sz="0" w:space="0" w:color="auto"/>
            <w:right w:val="none" w:sz="0" w:space="0" w:color="auto"/>
          </w:divBdr>
        </w:div>
      </w:divsChild>
    </w:div>
    <w:div w:id="681323488">
      <w:marLeft w:val="0"/>
      <w:marRight w:val="0"/>
      <w:marTop w:val="0"/>
      <w:marBottom w:val="0"/>
      <w:divBdr>
        <w:top w:val="none" w:sz="0" w:space="0" w:color="auto"/>
        <w:left w:val="none" w:sz="0" w:space="0" w:color="auto"/>
        <w:bottom w:val="none" w:sz="0" w:space="0" w:color="auto"/>
        <w:right w:val="none" w:sz="0" w:space="0" w:color="auto"/>
      </w:divBdr>
    </w:div>
    <w:div w:id="681323489">
      <w:marLeft w:val="0"/>
      <w:marRight w:val="0"/>
      <w:marTop w:val="0"/>
      <w:marBottom w:val="0"/>
      <w:divBdr>
        <w:top w:val="none" w:sz="0" w:space="0" w:color="auto"/>
        <w:left w:val="none" w:sz="0" w:space="0" w:color="auto"/>
        <w:bottom w:val="none" w:sz="0" w:space="0" w:color="auto"/>
        <w:right w:val="none" w:sz="0" w:space="0" w:color="auto"/>
      </w:divBdr>
    </w:div>
    <w:div w:id="681323490">
      <w:marLeft w:val="0"/>
      <w:marRight w:val="0"/>
      <w:marTop w:val="0"/>
      <w:marBottom w:val="0"/>
      <w:divBdr>
        <w:top w:val="none" w:sz="0" w:space="0" w:color="auto"/>
        <w:left w:val="none" w:sz="0" w:space="0" w:color="auto"/>
        <w:bottom w:val="none" w:sz="0" w:space="0" w:color="auto"/>
        <w:right w:val="none" w:sz="0" w:space="0" w:color="auto"/>
      </w:divBdr>
    </w:div>
    <w:div w:id="681323492">
      <w:marLeft w:val="0"/>
      <w:marRight w:val="0"/>
      <w:marTop w:val="0"/>
      <w:marBottom w:val="0"/>
      <w:divBdr>
        <w:top w:val="none" w:sz="0" w:space="0" w:color="auto"/>
        <w:left w:val="none" w:sz="0" w:space="0" w:color="auto"/>
        <w:bottom w:val="none" w:sz="0" w:space="0" w:color="auto"/>
        <w:right w:val="none" w:sz="0" w:space="0" w:color="auto"/>
      </w:divBdr>
    </w:div>
    <w:div w:id="681323494">
      <w:marLeft w:val="0"/>
      <w:marRight w:val="0"/>
      <w:marTop w:val="0"/>
      <w:marBottom w:val="0"/>
      <w:divBdr>
        <w:top w:val="none" w:sz="0" w:space="0" w:color="auto"/>
        <w:left w:val="none" w:sz="0" w:space="0" w:color="auto"/>
        <w:bottom w:val="none" w:sz="0" w:space="0" w:color="auto"/>
        <w:right w:val="none" w:sz="0" w:space="0" w:color="auto"/>
      </w:divBdr>
      <w:divsChild>
        <w:div w:id="681323491">
          <w:marLeft w:val="0"/>
          <w:marRight w:val="0"/>
          <w:marTop w:val="0"/>
          <w:marBottom w:val="0"/>
          <w:divBdr>
            <w:top w:val="none" w:sz="0" w:space="0" w:color="auto"/>
            <w:left w:val="none" w:sz="0" w:space="0" w:color="auto"/>
            <w:bottom w:val="none" w:sz="0" w:space="0" w:color="auto"/>
            <w:right w:val="none" w:sz="0" w:space="0" w:color="auto"/>
          </w:divBdr>
          <w:divsChild>
            <w:div w:id="681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90866">
      <w:bodyDiv w:val="1"/>
      <w:marLeft w:val="0"/>
      <w:marRight w:val="0"/>
      <w:marTop w:val="0"/>
      <w:marBottom w:val="0"/>
      <w:divBdr>
        <w:top w:val="none" w:sz="0" w:space="0" w:color="auto"/>
        <w:left w:val="none" w:sz="0" w:space="0" w:color="auto"/>
        <w:bottom w:val="none" w:sz="0" w:space="0" w:color="auto"/>
        <w:right w:val="none" w:sz="0" w:space="0" w:color="auto"/>
      </w:divBdr>
    </w:div>
    <w:div w:id="1241451540">
      <w:bodyDiv w:val="1"/>
      <w:marLeft w:val="0"/>
      <w:marRight w:val="0"/>
      <w:marTop w:val="0"/>
      <w:marBottom w:val="0"/>
      <w:divBdr>
        <w:top w:val="none" w:sz="0" w:space="0" w:color="auto"/>
        <w:left w:val="none" w:sz="0" w:space="0" w:color="auto"/>
        <w:bottom w:val="none" w:sz="0" w:space="0" w:color="auto"/>
        <w:right w:val="none" w:sz="0" w:space="0" w:color="auto"/>
      </w:divBdr>
      <w:divsChild>
        <w:div w:id="768817535">
          <w:marLeft w:val="0"/>
          <w:marRight w:val="0"/>
          <w:marTop w:val="0"/>
          <w:marBottom w:val="0"/>
          <w:divBdr>
            <w:top w:val="none" w:sz="0" w:space="0" w:color="auto"/>
            <w:left w:val="none" w:sz="0" w:space="0" w:color="auto"/>
            <w:bottom w:val="none" w:sz="0" w:space="0" w:color="auto"/>
            <w:right w:val="none" w:sz="0" w:space="0" w:color="auto"/>
          </w:divBdr>
          <w:divsChild>
            <w:div w:id="335378505">
              <w:marLeft w:val="0"/>
              <w:marRight w:val="0"/>
              <w:marTop w:val="0"/>
              <w:marBottom w:val="0"/>
              <w:divBdr>
                <w:top w:val="none" w:sz="0" w:space="0" w:color="auto"/>
                <w:left w:val="none" w:sz="0" w:space="0" w:color="auto"/>
                <w:bottom w:val="none" w:sz="0" w:space="0" w:color="auto"/>
                <w:right w:val="none" w:sz="0" w:space="0" w:color="auto"/>
              </w:divBdr>
              <w:divsChild>
                <w:div w:id="1339775413">
                  <w:marLeft w:val="0"/>
                  <w:marRight w:val="0"/>
                  <w:marTop w:val="0"/>
                  <w:marBottom w:val="0"/>
                  <w:divBdr>
                    <w:top w:val="none" w:sz="0" w:space="0" w:color="auto"/>
                    <w:left w:val="none" w:sz="0" w:space="0" w:color="auto"/>
                    <w:bottom w:val="none" w:sz="0" w:space="0" w:color="auto"/>
                    <w:right w:val="none" w:sz="0" w:space="0" w:color="auto"/>
                  </w:divBdr>
                  <w:divsChild>
                    <w:div w:id="1972515142">
                      <w:marLeft w:val="0"/>
                      <w:marRight w:val="0"/>
                      <w:marTop w:val="0"/>
                      <w:marBottom w:val="0"/>
                      <w:divBdr>
                        <w:top w:val="none" w:sz="0" w:space="0" w:color="auto"/>
                        <w:left w:val="none" w:sz="0" w:space="0" w:color="auto"/>
                        <w:bottom w:val="none" w:sz="0" w:space="0" w:color="auto"/>
                        <w:right w:val="none" w:sz="0" w:space="0" w:color="auto"/>
                      </w:divBdr>
                      <w:divsChild>
                        <w:div w:id="14129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076044">
      <w:bodyDiv w:val="1"/>
      <w:marLeft w:val="0"/>
      <w:marRight w:val="0"/>
      <w:marTop w:val="0"/>
      <w:marBottom w:val="0"/>
      <w:divBdr>
        <w:top w:val="none" w:sz="0" w:space="0" w:color="auto"/>
        <w:left w:val="none" w:sz="0" w:space="0" w:color="auto"/>
        <w:bottom w:val="none" w:sz="0" w:space="0" w:color="auto"/>
        <w:right w:val="none" w:sz="0" w:space="0" w:color="auto"/>
      </w:divBdr>
      <w:divsChild>
        <w:div w:id="523521158">
          <w:marLeft w:val="0"/>
          <w:marRight w:val="0"/>
          <w:marTop w:val="0"/>
          <w:marBottom w:val="0"/>
          <w:divBdr>
            <w:top w:val="none" w:sz="0" w:space="0" w:color="auto"/>
            <w:left w:val="none" w:sz="0" w:space="0" w:color="auto"/>
            <w:bottom w:val="none" w:sz="0" w:space="0" w:color="auto"/>
            <w:right w:val="none" w:sz="0" w:space="0" w:color="auto"/>
          </w:divBdr>
          <w:divsChild>
            <w:div w:id="1622032583">
              <w:marLeft w:val="0"/>
              <w:marRight w:val="0"/>
              <w:marTop w:val="0"/>
              <w:marBottom w:val="0"/>
              <w:divBdr>
                <w:top w:val="none" w:sz="0" w:space="0" w:color="auto"/>
                <w:left w:val="none" w:sz="0" w:space="0" w:color="auto"/>
                <w:bottom w:val="none" w:sz="0" w:space="0" w:color="auto"/>
                <w:right w:val="none" w:sz="0" w:space="0" w:color="auto"/>
              </w:divBdr>
              <w:divsChild>
                <w:div w:id="1460227096">
                  <w:marLeft w:val="0"/>
                  <w:marRight w:val="0"/>
                  <w:marTop w:val="0"/>
                  <w:marBottom w:val="0"/>
                  <w:divBdr>
                    <w:top w:val="none" w:sz="0" w:space="0" w:color="auto"/>
                    <w:left w:val="none" w:sz="0" w:space="0" w:color="auto"/>
                    <w:bottom w:val="none" w:sz="0" w:space="0" w:color="auto"/>
                    <w:right w:val="none" w:sz="0" w:space="0" w:color="auto"/>
                  </w:divBdr>
                  <w:divsChild>
                    <w:div w:id="1536649255">
                      <w:marLeft w:val="0"/>
                      <w:marRight w:val="0"/>
                      <w:marTop w:val="0"/>
                      <w:marBottom w:val="0"/>
                      <w:divBdr>
                        <w:top w:val="none" w:sz="0" w:space="0" w:color="auto"/>
                        <w:left w:val="none" w:sz="0" w:space="0" w:color="auto"/>
                        <w:bottom w:val="none" w:sz="0" w:space="0" w:color="auto"/>
                        <w:right w:val="none" w:sz="0" w:space="0" w:color="auto"/>
                      </w:divBdr>
                      <w:divsChild>
                        <w:div w:id="83306668">
                          <w:marLeft w:val="0"/>
                          <w:marRight w:val="0"/>
                          <w:marTop w:val="120"/>
                          <w:marBottom w:val="240"/>
                          <w:divBdr>
                            <w:top w:val="none" w:sz="0" w:space="0" w:color="auto"/>
                            <w:left w:val="none" w:sz="0" w:space="0" w:color="auto"/>
                            <w:bottom w:val="single" w:sz="4" w:space="12" w:color="BBBBBB"/>
                            <w:right w:val="none" w:sz="0" w:space="0" w:color="auto"/>
                          </w:divBdr>
                          <w:divsChild>
                            <w:div w:id="581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054412">
      <w:bodyDiv w:val="1"/>
      <w:marLeft w:val="0"/>
      <w:marRight w:val="0"/>
      <w:marTop w:val="0"/>
      <w:marBottom w:val="0"/>
      <w:divBdr>
        <w:top w:val="none" w:sz="0" w:space="0" w:color="auto"/>
        <w:left w:val="none" w:sz="0" w:space="0" w:color="auto"/>
        <w:bottom w:val="none" w:sz="0" w:space="0" w:color="auto"/>
        <w:right w:val="none" w:sz="0" w:space="0" w:color="auto"/>
      </w:divBdr>
      <w:divsChild>
        <w:div w:id="796871526">
          <w:marLeft w:val="288"/>
          <w:marRight w:val="0"/>
          <w:marTop w:val="115"/>
          <w:marBottom w:val="0"/>
          <w:divBdr>
            <w:top w:val="none" w:sz="0" w:space="0" w:color="auto"/>
            <w:left w:val="none" w:sz="0" w:space="0" w:color="auto"/>
            <w:bottom w:val="none" w:sz="0" w:space="0" w:color="auto"/>
            <w:right w:val="none" w:sz="0" w:space="0" w:color="auto"/>
          </w:divBdr>
        </w:div>
        <w:div w:id="665282433">
          <w:marLeft w:val="288"/>
          <w:marRight w:val="0"/>
          <w:marTop w:val="115"/>
          <w:marBottom w:val="0"/>
          <w:divBdr>
            <w:top w:val="none" w:sz="0" w:space="0" w:color="auto"/>
            <w:left w:val="none" w:sz="0" w:space="0" w:color="auto"/>
            <w:bottom w:val="none" w:sz="0" w:space="0" w:color="auto"/>
            <w:right w:val="none" w:sz="0" w:space="0" w:color="auto"/>
          </w:divBdr>
        </w:div>
      </w:divsChild>
    </w:div>
    <w:div w:id="1538467558">
      <w:bodyDiv w:val="1"/>
      <w:marLeft w:val="0"/>
      <w:marRight w:val="0"/>
      <w:marTop w:val="0"/>
      <w:marBottom w:val="0"/>
      <w:divBdr>
        <w:top w:val="none" w:sz="0" w:space="0" w:color="auto"/>
        <w:left w:val="none" w:sz="0" w:space="0" w:color="auto"/>
        <w:bottom w:val="none" w:sz="0" w:space="0" w:color="auto"/>
        <w:right w:val="none" w:sz="0" w:space="0" w:color="auto"/>
      </w:divBdr>
      <w:divsChild>
        <w:div w:id="1154952669">
          <w:marLeft w:val="288"/>
          <w:marRight w:val="0"/>
          <w:marTop w:val="115"/>
          <w:marBottom w:val="0"/>
          <w:divBdr>
            <w:top w:val="none" w:sz="0" w:space="0" w:color="auto"/>
            <w:left w:val="none" w:sz="0" w:space="0" w:color="auto"/>
            <w:bottom w:val="none" w:sz="0" w:space="0" w:color="auto"/>
            <w:right w:val="none" w:sz="0" w:space="0" w:color="auto"/>
          </w:divBdr>
        </w:div>
        <w:div w:id="1242837561">
          <w:marLeft w:val="288"/>
          <w:marRight w:val="0"/>
          <w:marTop w:val="115"/>
          <w:marBottom w:val="0"/>
          <w:divBdr>
            <w:top w:val="none" w:sz="0" w:space="0" w:color="auto"/>
            <w:left w:val="none" w:sz="0" w:space="0" w:color="auto"/>
            <w:bottom w:val="none" w:sz="0" w:space="0" w:color="auto"/>
            <w:right w:val="none" w:sz="0" w:space="0" w:color="auto"/>
          </w:divBdr>
        </w:div>
      </w:divsChild>
    </w:div>
    <w:div w:id="1648052645">
      <w:bodyDiv w:val="1"/>
      <w:marLeft w:val="0"/>
      <w:marRight w:val="0"/>
      <w:marTop w:val="0"/>
      <w:marBottom w:val="0"/>
      <w:divBdr>
        <w:top w:val="none" w:sz="0" w:space="0" w:color="auto"/>
        <w:left w:val="none" w:sz="0" w:space="0" w:color="auto"/>
        <w:bottom w:val="none" w:sz="0" w:space="0" w:color="auto"/>
        <w:right w:val="none" w:sz="0" w:space="0" w:color="auto"/>
      </w:divBdr>
      <w:divsChild>
        <w:div w:id="856042465">
          <w:marLeft w:val="0"/>
          <w:marRight w:val="0"/>
          <w:marTop w:val="0"/>
          <w:marBottom w:val="0"/>
          <w:divBdr>
            <w:top w:val="none" w:sz="0" w:space="0" w:color="auto"/>
            <w:left w:val="none" w:sz="0" w:space="0" w:color="auto"/>
            <w:bottom w:val="none" w:sz="0" w:space="0" w:color="auto"/>
            <w:right w:val="none" w:sz="0" w:space="0" w:color="auto"/>
          </w:divBdr>
          <w:divsChild>
            <w:div w:id="206963236">
              <w:marLeft w:val="0"/>
              <w:marRight w:val="0"/>
              <w:marTop w:val="0"/>
              <w:marBottom w:val="300"/>
              <w:divBdr>
                <w:top w:val="none" w:sz="0" w:space="0" w:color="auto"/>
                <w:left w:val="none" w:sz="0" w:space="0" w:color="auto"/>
                <w:bottom w:val="none" w:sz="0" w:space="0" w:color="auto"/>
                <w:right w:val="none" w:sz="0" w:space="0" w:color="auto"/>
              </w:divBdr>
              <w:divsChild>
                <w:div w:id="905528532">
                  <w:marLeft w:val="0"/>
                  <w:marRight w:val="0"/>
                  <w:marTop w:val="0"/>
                  <w:marBottom w:val="0"/>
                  <w:divBdr>
                    <w:top w:val="single" w:sz="6" w:space="8" w:color="EBEBEB"/>
                    <w:left w:val="single" w:sz="6" w:space="0" w:color="EBEBEB"/>
                    <w:bottom w:val="single" w:sz="6" w:space="8" w:color="EBEBEB"/>
                    <w:right w:val="single" w:sz="6" w:space="0" w:color="EBEBEB"/>
                  </w:divBdr>
                  <w:divsChild>
                    <w:div w:id="692077914">
                      <w:marLeft w:val="0"/>
                      <w:marRight w:val="0"/>
                      <w:marTop w:val="0"/>
                      <w:marBottom w:val="0"/>
                      <w:divBdr>
                        <w:top w:val="none" w:sz="0" w:space="0" w:color="auto"/>
                        <w:left w:val="none" w:sz="0" w:space="0" w:color="auto"/>
                        <w:bottom w:val="none" w:sz="0" w:space="0" w:color="auto"/>
                        <w:right w:val="none" w:sz="0" w:space="0" w:color="auto"/>
                      </w:divBdr>
                      <w:divsChild>
                        <w:div w:id="776295234">
                          <w:marLeft w:val="0"/>
                          <w:marRight w:val="0"/>
                          <w:marTop w:val="0"/>
                          <w:marBottom w:val="0"/>
                          <w:divBdr>
                            <w:top w:val="none" w:sz="0" w:space="0" w:color="auto"/>
                            <w:left w:val="none" w:sz="0" w:space="0" w:color="auto"/>
                            <w:bottom w:val="none" w:sz="0" w:space="0" w:color="auto"/>
                            <w:right w:val="none" w:sz="0" w:space="0" w:color="auto"/>
                          </w:divBdr>
                          <w:divsChild>
                            <w:div w:id="1888564215">
                              <w:marLeft w:val="0"/>
                              <w:marRight w:val="0"/>
                              <w:marTop w:val="0"/>
                              <w:marBottom w:val="0"/>
                              <w:divBdr>
                                <w:top w:val="none" w:sz="0" w:space="0" w:color="auto"/>
                                <w:left w:val="none" w:sz="0" w:space="0" w:color="auto"/>
                                <w:bottom w:val="none" w:sz="0" w:space="0" w:color="auto"/>
                                <w:right w:val="none" w:sz="0" w:space="0" w:color="auto"/>
                              </w:divBdr>
                              <w:divsChild>
                                <w:div w:id="841512114">
                                  <w:marLeft w:val="0"/>
                                  <w:marRight w:val="0"/>
                                  <w:marTop w:val="0"/>
                                  <w:marBottom w:val="0"/>
                                  <w:divBdr>
                                    <w:top w:val="none" w:sz="0" w:space="0" w:color="auto"/>
                                    <w:left w:val="none" w:sz="0" w:space="0" w:color="auto"/>
                                    <w:bottom w:val="none" w:sz="0" w:space="0" w:color="auto"/>
                                    <w:right w:val="none" w:sz="0" w:space="0" w:color="auto"/>
                                  </w:divBdr>
                                  <w:divsChild>
                                    <w:div w:id="1314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647614">
      <w:bodyDiv w:val="1"/>
      <w:marLeft w:val="0"/>
      <w:marRight w:val="0"/>
      <w:marTop w:val="0"/>
      <w:marBottom w:val="0"/>
      <w:divBdr>
        <w:top w:val="none" w:sz="0" w:space="0" w:color="auto"/>
        <w:left w:val="none" w:sz="0" w:space="0" w:color="auto"/>
        <w:bottom w:val="none" w:sz="0" w:space="0" w:color="auto"/>
        <w:right w:val="none" w:sz="0" w:space="0" w:color="auto"/>
      </w:divBdr>
      <w:divsChild>
        <w:div w:id="1080952201">
          <w:marLeft w:val="0"/>
          <w:marRight w:val="0"/>
          <w:marTop w:val="525"/>
          <w:marBottom w:val="0"/>
          <w:divBdr>
            <w:top w:val="none" w:sz="0" w:space="0" w:color="auto"/>
            <w:left w:val="none" w:sz="0" w:space="0" w:color="auto"/>
            <w:bottom w:val="none" w:sz="0" w:space="0" w:color="auto"/>
            <w:right w:val="none" w:sz="0" w:space="0" w:color="auto"/>
          </w:divBdr>
          <w:divsChild>
            <w:div w:id="1409573760">
              <w:marLeft w:val="0"/>
              <w:marRight w:val="0"/>
              <w:marTop w:val="0"/>
              <w:marBottom w:val="0"/>
              <w:divBdr>
                <w:top w:val="none" w:sz="0" w:space="0" w:color="auto"/>
                <w:left w:val="none" w:sz="0" w:space="0" w:color="auto"/>
                <w:bottom w:val="none" w:sz="0" w:space="0" w:color="auto"/>
                <w:right w:val="none" w:sz="0" w:space="0" w:color="auto"/>
              </w:divBdr>
              <w:divsChild>
                <w:div w:id="2101557044">
                  <w:marLeft w:val="0"/>
                  <w:marRight w:val="0"/>
                  <w:marTop w:val="0"/>
                  <w:marBottom w:val="0"/>
                  <w:divBdr>
                    <w:top w:val="none" w:sz="0" w:space="0" w:color="auto"/>
                    <w:left w:val="none" w:sz="0" w:space="0" w:color="auto"/>
                    <w:bottom w:val="none" w:sz="0" w:space="0" w:color="auto"/>
                    <w:right w:val="none" w:sz="0" w:space="0" w:color="auto"/>
                  </w:divBdr>
                  <w:divsChild>
                    <w:div w:id="2143571997">
                      <w:marLeft w:val="0"/>
                      <w:marRight w:val="0"/>
                      <w:marTop w:val="0"/>
                      <w:marBottom w:val="0"/>
                      <w:divBdr>
                        <w:top w:val="none" w:sz="0" w:space="0" w:color="auto"/>
                        <w:left w:val="none" w:sz="0" w:space="0" w:color="auto"/>
                        <w:bottom w:val="none" w:sz="0" w:space="0" w:color="auto"/>
                        <w:right w:val="none" w:sz="0" w:space="0" w:color="auto"/>
                      </w:divBdr>
                      <w:divsChild>
                        <w:div w:id="1330908481">
                          <w:marLeft w:val="0"/>
                          <w:marRight w:val="0"/>
                          <w:marTop w:val="0"/>
                          <w:marBottom w:val="0"/>
                          <w:divBdr>
                            <w:top w:val="none" w:sz="0" w:space="0" w:color="auto"/>
                            <w:left w:val="none" w:sz="0" w:space="0" w:color="auto"/>
                            <w:bottom w:val="none" w:sz="0" w:space="0" w:color="auto"/>
                            <w:right w:val="none" w:sz="0" w:space="0" w:color="auto"/>
                          </w:divBdr>
                          <w:divsChild>
                            <w:div w:id="730078419">
                              <w:marLeft w:val="0"/>
                              <w:marRight w:val="0"/>
                              <w:marTop w:val="0"/>
                              <w:marBottom w:val="0"/>
                              <w:divBdr>
                                <w:top w:val="none" w:sz="0" w:space="0" w:color="auto"/>
                                <w:left w:val="none" w:sz="0" w:space="0" w:color="auto"/>
                                <w:bottom w:val="none" w:sz="0" w:space="0" w:color="auto"/>
                                <w:right w:val="none" w:sz="0" w:space="0" w:color="auto"/>
                              </w:divBdr>
                              <w:divsChild>
                                <w:div w:id="960693516">
                                  <w:marLeft w:val="0"/>
                                  <w:marRight w:val="0"/>
                                  <w:marTop w:val="0"/>
                                  <w:marBottom w:val="0"/>
                                  <w:divBdr>
                                    <w:top w:val="none" w:sz="0" w:space="0" w:color="auto"/>
                                    <w:left w:val="none" w:sz="0" w:space="0" w:color="auto"/>
                                    <w:bottom w:val="none" w:sz="0" w:space="0" w:color="auto"/>
                                    <w:right w:val="none" w:sz="0" w:space="0" w:color="auto"/>
                                  </w:divBdr>
                                  <w:divsChild>
                                    <w:div w:id="2100830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5094">
      <w:bodyDiv w:val="1"/>
      <w:marLeft w:val="0"/>
      <w:marRight w:val="0"/>
      <w:marTop w:val="0"/>
      <w:marBottom w:val="0"/>
      <w:divBdr>
        <w:top w:val="none" w:sz="0" w:space="0" w:color="auto"/>
        <w:left w:val="none" w:sz="0" w:space="0" w:color="auto"/>
        <w:bottom w:val="none" w:sz="0" w:space="0" w:color="auto"/>
        <w:right w:val="none" w:sz="0" w:space="0" w:color="auto"/>
      </w:divBdr>
      <w:divsChild>
        <w:div w:id="1632831252">
          <w:marLeft w:val="288"/>
          <w:marRight w:val="0"/>
          <w:marTop w:val="115"/>
          <w:marBottom w:val="0"/>
          <w:divBdr>
            <w:top w:val="none" w:sz="0" w:space="0" w:color="auto"/>
            <w:left w:val="none" w:sz="0" w:space="0" w:color="auto"/>
            <w:bottom w:val="none" w:sz="0" w:space="0" w:color="auto"/>
            <w:right w:val="none" w:sz="0" w:space="0" w:color="auto"/>
          </w:divBdr>
        </w:div>
        <w:div w:id="1202208101">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aspa.org/internet/Testi/Legge77.pdf" TargetMode="External"/><Relationship Id="rId13" Type="http://schemas.openxmlformats.org/officeDocument/2006/relationships/hyperlink" Target="http://www.casaspa.org/internet/Testi/delib10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aspa.org/internet/Testi/TU26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spa.org/internet/Testi/TU267.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saspa.org/internet/Testi/Legge77.pdf" TargetMode="External"/><Relationship Id="rId4" Type="http://schemas.openxmlformats.org/officeDocument/2006/relationships/settings" Target="settings.xml"/><Relationship Id="rId9" Type="http://schemas.openxmlformats.org/officeDocument/2006/relationships/hyperlink" Target="http://www.casaspa.org/internet/Testi/Legge77.pdf" TargetMode="External"/><Relationship Id="rId14" Type="http://schemas.openxmlformats.org/officeDocument/2006/relationships/hyperlink" Target="http://unmig.sviluppoeconomico.gov.it/dgsaie/ambiti/norme/164dlg00.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9A5D-727D-4A6B-8AD9-2F8824BA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3691</Words>
  <Characters>21045</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Piano triennale per la trasparenza e l'integrità</vt:lpstr>
    </vt:vector>
  </TitlesOfParts>
  <Manager>segretario comunale</Manager>
  <Company>Soluzione srl</Company>
  <LinksUpToDate>false</LinksUpToDate>
  <CharactersWithSpaces>24687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per la trasparenza e l'integrità</dc:title>
  <dc:creator>omar gozzoli</dc:creator>
  <dc:description>Prodotto protetto dalla disciplina sui diritti d'autore; non divulgabile senza espressa autorizzazione di Soluzione srl</dc:description>
  <cp:lastModifiedBy>sbriglia</cp:lastModifiedBy>
  <cp:revision>2</cp:revision>
  <cp:lastPrinted>2015-03-05T07:32:00Z</cp:lastPrinted>
  <dcterms:created xsi:type="dcterms:W3CDTF">2015-03-31T07:18:00Z</dcterms:created>
  <dcterms:modified xsi:type="dcterms:W3CDTF">2015-03-31T07:18:00Z</dcterms:modified>
</cp:coreProperties>
</file>